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6BFBB" w14:textId="77777777" w:rsidR="007849E9" w:rsidRPr="004D5334" w:rsidRDefault="004D5334" w:rsidP="00826A2F">
      <w:pPr>
        <w:spacing w:before="120" w:after="0" w:line="288" w:lineRule="auto"/>
        <w:jc w:val="center"/>
        <w:rPr>
          <w:rFonts w:ascii="Arial" w:eastAsiaTheme="minorEastAsia" w:hAnsi="Arial" w:cs="Arial"/>
          <w:b/>
          <w:smallCaps/>
          <w:sz w:val="28"/>
          <w:szCs w:val="28"/>
        </w:rPr>
      </w:pPr>
      <w:r w:rsidRPr="004D5334">
        <w:rPr>
          <w:rFonts w:ascii="Arial" w:eastAsiaTheme="minorEastAsia" w:hAnsi="Arial" w:cs="Arial"/>
          <w:b/>
          <w:smallCaps/>
          <w:sz w:val="28"/>
          <w:szCs w:val="28"/>
        </w:rPr>
        <w:t xml:space="preserve">Prescribing </w:t>
      </w:r>
      <w:r>
        <w:rPr>
          <w:rFonts w:ascii="Arial" w:eastAsiaTheme="minorEastAsia" w:hAnsi="Arial" w:cs="Arial"/>
          <w:b/>
          <w:smallCaps/>
          <w:sz w:val="28"/>
          <w:szCs w:val="28"/>
        </w:rPr>
        <w:t>&amp;</w:t>
      </w:r>
      <w:r w:rsidRPr="004D5334">
        <w:rPr>
          <w:rFonts w:ascii="Arial" w:eastAsiaTheme="minorEastAsia" w:hAnsi="Arial" w:cs="Arial"/>
          <w:b/>
          <w:smallCaps/>
          <w:sz w:val="28"/>
          <w:szCs w:val="28"/>
        </w:rPr>
        <w:t xml:space="preserve"> Monitoring Testosterone Undecanoate 1g (</w:t>
      </w:r>
      <w:proofErr w:type="spellStart"/>
      <w:r w:rsidRPr="004D5334">
        <w:rPr>
          <w:rFonts w:ascii="Arial" w:eastAsiaTheme="minorEastAsia" w:hAnsi="Arial" w:cs="Arial"/>
          <w:b/>
          <w:smallCaps/>
          <w:sz w:val="28"/>
          <w:szCs w:val="28"/>
        </w:rPr>
        <w:t>Nebido</w:t>
      </w:r>
      <w:proofErr w:type="spellEnd"/>
      <w:r w:rsidRPr="004D5334">
        <w:rPr>
          <w:rFonts w:ascii="Arial" w:eastAsiaTheme="minorEastAsia" w:hAnsi="Arial" w:cs="Arial"/>
          <w:b/>
          <w:smallCaps/>
          <w:sz w:val="28"/>
          <w:szCs w:val="28"/>
        </w:rPr>
        <w:t>® or Generic) Injections in Hypogonadal &amp; Transgender Men</w:t>
      </w:r>
    </w:p>
    <w:p w14:paraId="445633C9" w14:textId="77777777" w:rsidR="007849E9" w:rsidRPr="007849E9" w:rsidRDefault="007849E9" w:rsidP="00826A2F">
      <w:pPr>
        <w:spacing w:before="360" w:after="0" w:line="288" w:lineRule="auto"/>
        <w:jc w:val="both"/>
        <w:rPr>
          <w:rFonts w:ascii="Arial" w:eastAsiaTheme="minorEastAsia" w:hAnsi="Arial" w:cs="Arial"/>
          <w:b/>
          <w:sz w:val="24"/>
          <w:szCs w:val="24"/>
        </w:rPr>
      </w:pPr>
      <w:r w:rsidRPr="007849E9">
        <w:rPr>
          <w:rFonts w:ascii="Arial" w:eastAsiaTheme="minorEastAsia" w:hAnsi="Arial" w:cs="Arial"/>
          <w:b/>
          <w:sz w:val="24"/>
          <w:szCs w:val="24"/>
        </w:rPr>
        <w:t>Preamble</w:t>
      </w:r>
    </w:p>
    <w:p w14:paraId="3A0D9178" w14:textId="77777777" w:rsidR="00E3206F"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As per other forms of testosterone </w:t>
      </w:r>
      <w:r w:rsidR="004D5334">
        <w:rPr>
          <w:rFonts w:ascii="Arial" w:eastAsiaTheme="minorEastAsia" w:hAnsi="Arial" w:cs="Arial"/>
          <w:sz w:val="24"/>
          <w:szCs w:val="24"/>
        </w:rPr>
        <w:t>treat</w:t>
      </w:r>
      <w:r w:rsidRPr="007849E9">
        <w:rPr>
          <w:rFonts w:ascii="Arial" w:eastAsiaTheme="minorEastAsia" w:hAnsi="Arial" w:cs="Arial"/>
          <w:sz w:val="24"/>
          <w:szCs w:val="24"/>
        </w:rPr>
        <w:t xml:space="preserve">ment, </w:t>
      </w:r>
      <w:r w:rsidR="004D5334">
        <w:rPr>
          <w:rFonts w:ascii="Arial" w:eastAsiaTheme="minorEastAsia" w:hAnsi="Arial" w:cs="Arial"/>
          <w:sz w:val="24"/>
          <w:szCs w:val="24"/>
        </w:rPr>
        <w:t>Testosterone u</w:t>
      </w:r>
      <w:r w:rsidR="004D5334" w:rsidRPr="004D5334">
        <w:rPr>
          <w:rFonts w:ascii="Arial" w:eastAsiaTheme="minorEastAsia" w:hAnsi="Arial" w:cs="Arial"/>
          <w:sz w:val="24"/>
          <w:szCs w:val="24"/>
        </w:rPr>
        <w:t>ndecanoate</w:t>
      </w:r>
      <w:r w:rsidR="004D5334">
        <w:rPr>
          <w:rFonts w:ascii="Arial" w:eastAsiaTheme="minorEastAsia" w:hAnsi="Arial" w:cs="Arial"/>
          <w:sz w:val="24"/>
          <w:szCs w:val="24"/>
        </w:rPr>
        <w:t xml:space="preserve"> 1 g (TE) </w:t>
      </w:r>
      <w:r w:rsidRPr="007849E9">
        <w:rPr>
          <w:rFonts w:ascii="Arial" w:eastAsiaTheme="minorEastAsia" w:hAnsi="Arial" w:cs="Arial"/>
          <w:sz w:val="24"/>
          <w:szCs w:val="24"/>
        </w:rPr>
        <w:t xml:space="preserve">is </w:t>
      </w:r>
      <w:r w:rsidR="004D5334">
        <w:rPr>
          <w:rFonts w:ascii="Arial" w:eastAsiaTheme="minorEastAsia" w:hAnsi="Arial" w:cs="Arial"/>
          <w:sz w:val="24"/>
          <w:szCs w:val="24"/>
        </w:rPr>
        <w:t xml:space="preserve">usually </w:t>
      </w:r>
      <w:r w:rsidR="00914340" w:rsidRPr="007849E9">
        <w:rPr>
          <w:rFonts w:ascii="Arial" w:eastAsiaTheme="minorEastAsia" w:hAnsi="Arial" w:cs="Arial"/>
          <w:sz w:val="24"/>
          <w:szCs w:val="24"/>
        </w:rPr>
        <w:t>freely prescribed</w:t>
      </w:r>
      <w:r w:rsidRPr="007849E9">
        <w:rPr>
          <w:rFonts w:ascii="Arial" w:eastAsiaTheme="minorEastAsia" w:hAnsi="Arial" w:cs="Arial"/>
          <w:sz w:val="24"/>
          <w:szCs w:val="24"/>
        </w:rPr>
        <w:t xml:space="preserve"> in Primary Care</w:t>
      </w:r>
      <w:r w:rsidR="004D5334">
        <w:rPr>
          <w:rFonts w:ascii="Arial" w:eastAsiaTheme="minorEastAsia" w:hAnsi="Arial" w:cs="Arial"/>
          <w:sz w:val="24"/>
          <w:szCs w:val="24"/>
        </w:rPr>
        <w:t>,</w:t>
      </w:r>
      <w:r w:rsidRPr="007849E9">
        <w:rPr>
          <w:rFonts w:ascii="Arial" w:eastAsiaTheme="minorEastAsia" w:hAnsi="Arial" w:cs="Arial"/>
          <w:sz w:val="24"/>
          <w:szCs w:val="24"/>
        </w:rPr>
        <w:t xml:space="preserve"> and there is thus no requirement</w:t>
      </w:r>
      <w:r w:rsidR="00914340">
        <w:rPr>
          <w:rFonts w:ascii="Arial" w:eastAsiaTheme="minorEastAsia" w:hAnsi="Arial" w:cs="Arial"/>
          <w:sz w:val="24"/>
          <w:szCs w:val="24"/>
        </w:rPr>
        <w:t xml:space="preserve"> or facility</w:t>
      </w:r>
      <w:r w:rsidRPr="007849E9">
        <w:rPr>
          <w:rFonts w:ascii="Arial" w:eastAsiaTheme="minorEastAsia" w:hAnsi="Arial" w:cs="Arial"/>
          <w:sz w:val="24"/>
          <w:szCs w:val="24"/>
        </w:rPr>
        <w:t xml:space="preserve"> for “shared-care” guidelines.  Nevertheless, colleagues in Primary Care </w:t>
      </w:r>
      <w:r w:rsidR="00E3206F">
        <w:rPr>
          <w:rFonts w:ascii="Arial" w:eastAsiaTheme="minorEastAsia" w:hAnsi="Arial" w:cs="Arial"/>
          <w:sz w:val="24"/>
          <w:szCs w:val="24"/>
        </w:rPr>
        <w:t>frequently</w:t>
      </w:r>
      <w:r w:rsidRPr="007849E9">
        <w:rPr>
          <w:rFonts w:ascii="Arial" w:eastAsiaTheme="minorEastAsia" w:hAnsi="Arial" w:cs="Arial"/>
          <w:sz w:val="24"/>
          <w:szCs w:val="24"/>
        </w:rPr>
        <w:t xml:space="preserve"> </w:t>
      </w:r>
      <w:r w:rsidR="00E3206F">
        <w:rPr>
          <w:rFonts w:ascii="Arial" w:eastAsiaTheme="minorEastAsia" w:hAnsi="Arial" w:cs="Arial"/>
          <w:sz w:val="24"/>
          <w:szCs w:val="24"/>
        </w:rPr>
        <w:t>ask for</w:t>
      </w:r>
      <w:r w:rsidRPr="007849E9">
        <w:rPr>
          <w:rFonts w:ascii="Arial" w:eastAsiaTheme="minorEastAsia" w:hAnsi="Arial" w:cs="Arial"/>
          <w:sz w:val="24"/>
          <w:szCs w:val="24"/>
        </w:rPr>
        <w:t xml:space="preserve"> further guidance, which this document aims to provide. </w:t>
      </w:r>
    </w:p>
    <w:p w14:paraId="35926E34" w14:textId="77777777" w:rsidR="00E3206F" w:rsidRPr="00E3206F" w:rsidRDefault="00E3206F" w:rsidP="00826A2F">
      <w:pPr>
        <w:spacing w:before="360" w:after="0" w:line="288" w:lineRule="auto"/>
        <w:jc w:val="both"/>
        <w:rPr>
          <w:rFonts w:ascii="Arial" w:eastAsiaTheme="minorEastAsia" w:hAnsi="Arial" w:cs="Arial"/>
          <w:b/>
          <w:sz w:val="24"/>
          <w:szCs w:val="24"/>
        </w:rPr>
      </w:pPr>
      <w:r w:rsidRPr="00E3206F">
        <w:rPr>
          <w:rFonts w:ascii="Arial" w:eastAsiaTheme="minorEastAsia" w:hAnsi="Arial" w:cs="Arial"/>
          <w:b/>
          <w:sz w:val="24"/>
          <w:szCs w:val="24"/>
        </w:rPr>
        <w:t>How much does it cost?</w:t>
      </w:r>
    </w:p>
    <w:p w14:paraId="4D9A90EA" w14:textId="77777777" w:rsidR="00ED475D" w:rsidRDefault="00E3206F" w:rsidP="00826A2F">
      <w:pPr>
        <w:spacing w:before="60" w:after="0" w:line="288" w:lineRule="auto"/>
        <w:jc w:val="both"/>
        <w:rPr>
          <w:rFonts w:ascii="Arial" w:eastAsiaTheme="minorEastAsia" w:hAnsi="Arial" w:cs="Arial"/>
          <w:sz w:val="24"/>
          <w:szCs w:val="24"/>
        </w:rPr>
      </w:pPr>
      <w:r>
        <w:rPr>
          <w:rFonts w:ascii="Arial" w:eastAsiaTheme="minorEastAsia" w:hAnsi="Arial" w:cs="Arial"/>
          <w:sz w:val="24"/>
          <w:szCs w:val="24"/>
        </w:rPr>
        <w:t>Although it costs significantly more than short-acting products (NHS tariff</w:t>
      </w:r>
      <w:r w:rsidRPr="00E3206F">
        <w:rPr>
          <w:rFonts w:ascii="Arial" w:eastAsiaTheme="minorEastAsia" w:hAnsi="Arial" w:cs="Arial"/>
          <w:sz w:val="24"/>
          <w:szCs w:val="24"/>
        </w:rPr>
        <w:t xml:space="preserve"> </w:t>
      </w:r>
      <w:r>
        <w:rPr>
          <w:rFonts w:ascii="Arial" w:eastAsiaTheme="minorEastAsia" w:hAnsi="Arial" w:cs="Arial"/>
          <w:sz w:val="24"/>
          <w:szCs w:val="24"/>
        </w:rPr>
        <w:t xml:space="preserve">£87.11), this is more than offset by (a) each </w:t>
      </w:r>
      <w:r w:rsidR="004D5334">
        <w:rPr>
          <w:rFonts w:ascii="Arial" w:eastAsiaTheme="minorEastAsia" w:hAnsi="Arial" w:cs="Arial"/>
          <w:sz w:val="24"/>
          <w:szCs w:val="24"/>
        </w:rPr>
        <w:t>1 g ampoule</w:t>
      </w:r>
      <w:r>
        <w:rPr>
          <w:rFonts w:ascii="Arial" w:eastAsiaTheme="minorEastAsia" w:hAnsi="Arial" w:cs="Arial"/>
          <w:sz w:val="24"/>
          <w:szCs w:val="24"/>
        </w:rPr>
        <w:t xml:space="preserve"> 1g being equivalent to 6</w:t>
      </w:r>
      <w:r w:rsidR="004D5334">
        <w:rPr>
          <w:rFonts w:ascii="Arial" w:eastAsiaTheme="minorEastAsia" w:hAnsi="Arial" w:cs="Arial"/>
          <w:sz w:val="24"/>
          <w:szCs w:val="24"/>
        </w:rPr>
        <w:t>‒</w:t>
      </w:r>
      <w:r>
        <w:rPr>
          <w:rFonts w:ascii="Arial" w:eastAsiaTheme="minorEastAsia" w:hAnsi="Arial" w:cs="Arial"/>
          <w:sz w:val="24"/>
          <w:szCs w:val="24"/>
        </w:rPr>
        <w:t xml:space="preserve">8 ampoules of short-acting testosterone and (b) a </w:t>
      </w:r>
      <w:r w:rsidR="004D5334">
        <w:rPr>
          <w:rFonts w:ascii="Arial" w:eastAsiaTheme="minorEastAsia" w:hAnsi="Arial" w:cs="Arial"/>
          <w:sz w:val="24"/>
          <w:szCs w:val="24"/>
        </w:rPr>
        <w:t xml:space="preserve">corresponding </w:t>
      </w:r>
      <w:r>
        <w:rPr>
          <w:rFonts w:ascii="Arial" w:eastAsiaTheme="minorEastAsia" w:hAnsi="Arial" w:cs="Arial"/>
          <w:sz w:val="24"/>
          <w:szCs w:val="24"/>
        </w:rPr>
        <w:t>6</w:t>
      </w:r>
      <w:r w:rsidR="004D5334" w:rsidRPr="004D5334">
        <w:rPr>
          <w:rFonts w:ascii="Arial" w:eastAsiaTheme="minorEastAsia" w:hAnsi="Arial" w:cs="Arial"/>
          <w:sz w:val="24"/>
          <w:szCs w:val="24"/>
        </w:rPr>
        <w:t>‒</w:t>
      </w:r>
      <w:r>
        <w:rPr>
          <w:rFonts w:ascii="Arial" w:eastAsiaTheme="minorEastAsia" w:hAnsi="Arial" w:cs="Arial"/>
          <w:sz w:val="24"/>
          <w:szCs w:val="24"/>
        </w:rPr>
        <w:t xml:space="preserve">8-fold reduction in </w:t>
      </w:r>
      <w:r w:rsidR="00ED475D">
        <w:rPr>
          <w:rFonts w:ascii="Arial" w:eastAsiaTheme="minorEastAsia" w:hAnsi="Arial" w:cs="Arial"/>
          <w:sz w:val="24"/>
          <w:szCs w:val="24"/>
        </w:rPr>
        <w:t>nurse time to give</w:t>
      </w:r>
      <w:r w:rsidR="004D5334">
        <w:rPr>
          <w:rFonts w:ascii="Arial" w:eastAsiaTheme="minorEastAsia" w:hAnsi="Arial" w:cs="Arial"/>
          <w:sz w:val="24"/>
          <w:szCs w:val="24"/>
        </w:rPr>
        <w:t xml:space="preserve"> the</w:t>
      </w:r>
      <w:r w:rsidR="00ED475D">
        <w:rPr>
          <w:rFonts w:ascii="Arial" w:eastAsiaTheme="minorEastAsia" w:hAnsi="Arial" w:cs="Arial"/>
          <w:sz w:val="24"/>
          <w:szCs w:val="24"/>
        </w:rPr>
        <w:t xml:space="preserve"> injections.</w:t>
      </w:r>
    </w:p>
    <w:p w14:paraId="3DB63A8C" w14:textId="77777777" w:rsidR="00E3206F" w:rsidRDefault="00ED475D" w:rsidP="00826A2F">
      <w:pPr>
        <w:spacing w:before="60" w:after="0" w:line="288" w:lineRule="auto"/>
        <w:jc w:val="both"/>
        <w:rPr>
          <w:rFonts w:ascii="Arial" w:eastAsiaTheme="minorEastAsia" w:hAnsi="Arial" w:cs="Arial"/>
          <w:sz w:val="24"/>
          <w:szCs w:val="24"/>
        </w:rPr>
      </w:pPr>
      <w:r w:rsidRPr="00ED475D">
        <w:rPr>
          <w:rFonts w:ascii="Arial" w:eastAsiaTheme="minorEastAsia" w:hAnsi="Arial" w:cs="Arial"/>
          <w:i/>
          <w:sz w:val="24"/>
          <w:szCs w:val="24"/>
        </w:rPr>
        <w:t>Although primary care</w:t>
      </w:r>
      <w:r>
        <w:rPr>
          <w:rFonts w:ascii="Arial" w:eastAsiaTheme="minorEastAsia" w:hAnsi="Arial" w:cs="Arial"/>
          <w:sz w:val="24"/>
          <w:szCs w:val="24"/>
        </w:rPr>
        <w:t xml:space="preserve"> </w:t>
      </w:r>
      <w:r>
        <w:rPr>
          <w:rFonts w:ascii="Arial" w:eastAsiaTheme="minorEastAsia" w:hAnsi="Arial" w:cs="Arial"/>
          <w:i/>
          <w:sz w:val="24"/>
          <w:szCs w:val="24"/>
        </w:rPr>
        <w:t xml:space="preserve">FP10 scripts (and private prescriptions) </w:t>
      </w:r>
      <w:r w:rsidR="00E3206F" w:rsidRPr="000A2222">
        <w:rPr>
          <w:rFonts w:ascii="Arial" w:eastAsiaTheme="minorEastAsia" w:hAnsi="Arial" w:cs="Arial"/>
          <w:i/>
          <w:sz w:val="24"/>
          <w:szCs w:val="24"/>
        </w:rPr>
        <w:t xml:space="preserve">are </w:t>
      </w:r>
      <w:r>
        <w:rPr>
          <w:rFonts w:ascii="Arial" w:eastAsiaTheme="minorEastAsia" w:hAnsi="Arial" w:cs="Arial"/>
          <w:i/>
          <w:sz w:val="24"/>
          <w:szCs w:val="24"/>
        </w:rPr>
        <w:t>VAT-</w:t>
      </w:r>
      <w:r w:rsidR="00E3206F" w:rsidRPr="000A2222">
        <w:rPr>
          <w:rFonts w:ascii="Arial" w:eastAsiaTheme="minorEastAsia" w:hAnsi="Arial" w:cs="Arial"/>
          <w:i/>
          <w:sz w:val="24"/>
          <w:szCs w:val="24"/>
        </w:rPr>
        <w:t>exempt</w:t>
      </w:r>
      <w:r>
        <w:rPr>
          <w:rFonts w:ascii="Arial" w:eastAsiaTheme="minorEastAsia" w:hAnsi="Arial" w:cs="Arial"/>
          <w:i/>
          <w:sz w:val="24"/>
          <w:szCs w:val="24"/>
        </w:rPr>
        <w:t xml:space="preserve">, through a “wrinkle” in the UK tax regime, </w:t>
      </w:r>
      <w:r w:rsidR="00E3206F" w:rsidRPr="000A2222">
        <w:rPr>
          <w:rFonts w:ascii="Arial" w:eastAsiaTheme="minorEastAsia" w:hAnsi="Arial" w:cs="Arial"/>
          <w:i/>
          <w:sz w:val="24"/>
          <w:szCs w:val="24"/>
        </w:rPr>
        <w:t>NHS Trusts pay 20% VAT on drugs</w:t>
      </w:r>
      <w:r>
        <w:rPr>
          <w:rFonts w:ascii="Arial" w:eastAsiaTheme="minorEastAsia" w:hAnsi="Arial" w:cs="Arial"/>
          <w:i/>
          <w:sz w:val="24"/>
          <w:szCs w:val="24"/>
        </w:rPr>
        <w:t xml:space="preserve"> dispensed</w:t>
      </w:r>
      <w:r w:rsidR="004D5334">
        <w:rPr>
          <w:rFonts w:ascii="Arial" w:eastAsiaTheme="minorEastAsia" w:hAnsi="Arial" w:cs="Arial"/>
          <w:i/>
          <w:sz w:val="24"/>
          <w:szCs w:val="24"/>
        </w:rPr>
        <w:t xml:space="preserve"> in hospital</w:t>
      </w:r>
      <w:r w:rsidR="00E3206F" w:rsidRPr="000A2222">
        <w:rPr>
          <w:rFonts w:ascii="Arial" w:eastAsiaTheme="minorEastAsia" w:hAnsi="Arial" w:cs="Arial"/>
          <w:i/>
          <w:sz w:val="24"/>
          <w:szCs w:val="24"/>
        </w:rPr>
        <w:t xml:space="preserve">, raising the cost </w:t>
      </w:r>
      <w:r>
        <w:rPr>
          <w:rFonts w:ascii="Arial" w:eastAsiaTheme="minorEastAsia" w:hAnsi="Arial" w:cs="Arial"/>
          <w:i/>
          <w:sz w:val="24"/>
          <w:szCs w:val="24"/>
        </w:rPr>
        <w:t xml:space="preserve">to the NHS </w:t>
      </w:r>
      <w:r w:rsidR="00E3206F" w:rsidRPr="000A2222">
        <w:rPr>
          <w:rFonts w:ascii="Arial" w:eastAsiaTheme="minorEastAsia" w:hAnsi="Arial" w:cs="Arial"/>
          <w:i/>
          <w:sz w:val="24"/>
          <w:szCs w:val="24"/>
        </w:rPr>
        <w:t>of each hospital script to £104.53.</w:t>
      </w:r>
    </w:p>
    <w:p w14:paraId="12F0E906" w14:textId="77777777" w:rsidR="007849E9" w:rsidRPr="007849E9" w:rsidRDefault="00E3206F" w:rsidP="00826A2F">
      <w:pPr>
        <w:spacing w:before="360" w:after="0" w:line="288" w:lineRule="auto"/>
        <w:jc w:val="both"/>
        <w:rPr>
          <w:rFonts w:ascii="Arial" w:eastAsia="Calibri" w:hAnsi="Arial" w:cs="Arial"/>
          <w:b/>
          <w:sz w:val="24"/>
          <w:szCs w:val="24"/>
        </w:rPr>
      </w:pPr>
      <w:r>
        <w:rPr>
          <w:rFonts w:ascii="Arial" w:eastAsia="Calibri" w:hAnsi="Arial" w:cs="Arial"/>
          <w:b/>
          <w:sz w:val="24"/>
          <w:szCs w:val="24"/>
        </w:rPr>
        <w:t xml:space="preserve">How </w:t>
      </w:r>
      <w:r w:rsidR="00826A2F">
        <w:rPr>
          <w:rFonts w:ascii="Arial" w:eastAsia="Calibri" w:hAnsi="Arial" w:cs="Arial"/>
          <w:b/>
          <w:sz w:val="24"/>
          <w:szCs w:val="24"/>
        </w:rPr>
        <w:t>are</w:t>
      </w:r>
      <w:r w:rsidR="007849E9" w:rsidRPr="007849E9">
        <w:rPr>
          <w:rFonts w:ascii="Arial" w:eastAsia="Calibri" w:hAnsi="Arial" w:cs="Arial"/>
          <w:b/>
          <w:sz w:val="24"/>
          <w:szCs w:val="24"/>
        </w:rPr>
        <w:t xml:space="preserve"> </w:t>
      </w:r>
      <w:r w:rsidR="004D5334">
        <w:rPr>
          <w:rFonts w:ascii="Arial" w:eastAsia="Calibri" w:hAnsi="Arial" w:cs="Arial"/>
          <w:b/>
          <w:sz w:val="24"/>
          <w:szCs w:val="24"/>
        </w:rPr>
        <w:t>TE</w:t>
      </w:r>
      <w:r w:rsidR="007849E9" w:rsidRPr="007849E9">
        <w:rPr>
          <w:rFonts w:ascii="Arial" w:eastAsia="Calibri" w:hAnsi="Arial" w:cs="Arial"/>
          <w:b/>
          <w:sz w:val="24"/>
          <w:szCs w:val="24"/>
        </w:rPr>
        <w:t xml:space="preserve"> injection</w:t>
      </w:r>
      <w:r w:rsidR="00826A2F">
        <w:rPr>
          <w:rFonts w:ascii="Arial" w:eastAsia="Calibri" w:hAnsi="Arial" w:cs="Arial"/>
          <w:b/>
          <w:sz w:val="24"/>
          <w:szCs w:val="24"/>
        </w:rPr>
        <w:t>s</w:t>
      </w:r>
      <w:r w:rsidR="007849E9" w:rsidRPr="007849E9">
        <w:rPr>
          <w:rFonts w:ascii="Arial" w:eastAsia="Calibri" w:hAnsi="Arial" w:cs="Arial"/>
          <w:b/>
          <w:sz w:val="24"/>
          <w:szCs w:val="24"/>
        </w:rPr>
        <w:t xml:space="preserve"> given</w:t>
      </w:r>
      <w:r>
        <w:rPr>
          <w:rFonts w:ascii="Arial" w:eastAsia="Calibri" w:hAnsi="Arial" w:cs="Arial"/>
          <w:b/>
          <w:sz w:val="24"/>
          <w:szCs w:val="24"/>
        </w:rPr>
        <w:t>?</w:t>
      </w:r>
    </w:p>
    <w:p w14:paraId="3F284EB1"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Unlike shorter-acting forms of injectable testosterone (</w:t>
      </w:r>
      <w:r w:rsidRPr="007849E9">
        <w:rPr>
          <w:rFonts w:ascii="Arial" w:eastAsiaTheme="minorEastAsia" w:hAnsi="Arial" w:cs="Arial"/>
          <w:i/>
          <w:sz w:val="24"/>
          <w:szCs w:val="24"/>
        </w:rPr>
        <w:t>e</w:t>
      </w:r>
      <w:r w:rsidR="00F50CC7">
        <w:rPr>
          <w:rFonts w:ascii="Arial" w:eastAsiaTheme="minorEastAsia" w:hAnsi="Arial" w:cs="Arial"/>
          <w:i/>
          <w:sz w:val="24"/>
          <w:szCs w:val="24"/>
        </w:rPr>
        <w:t>.</w:t>
      </w:r>
      <w:r w:rsidRPr="007849E9">
        <w:rPr>
          <w:rFonts w:ascii="Arial" w:eastAsiaTheme="minorEastAsia" w:hAnsi="Arial" w:cs="Arial"/>
          <w:i/>
          <w:sz w:val="24"/>
          <w:szCs w:val="24"/>
        </w:rPr>
        <w:t>g.</w:t>
      </w:r>
      <w:r w:rsidRPr="007849E9">
        <w:rPr>
          <w:rFonts w:ascii="Arial" w:eastAsiaTheme="minorEastAsia" w:hAnsi="Arial" w:cs="Arial"/>
          <w:sz w:val="24"/>
          <w:szCs w:val="24"/>
        </w:rPr>
        <w:t xml:space="preserve"> Sustanon</w:t>
      </w:r>
      <w:r w:rsidR="00E3206F">
        <w:rPr>
          <w:rFonts w:ascii="Arial" w:eastAsiaTheme="minorEastAsia" w:hAnsi="Arial" w:cs="Arial"/>
          <w:sz w:val="24"/>
          <w:szCs w:val="24"/>
        </w:rPr>
        <w:t>®</w:t>
      </w:r>
      <w:r w:rsidRPr="007849E9">
        <w:rPr>
          <w:rFonts w:ascii="Arial" w:eastAsiaTheme="minorEastAsia" w:hAnsi="Arial" w:cs="Arial"/>
          <w:sz w:val="24"/>
          <w:szCs w:val="24"/>
        </w:rPr>
        <w:t>), the volume (4</w:t>
      </w:r>
      <w:r w:rsidR="00F50CC7">
        <w:rPr>
          <w:rFonts w:ascii="Arial" w:eastAsiaTheme="minorEastAsia" w:hAnsi="Arial" w:cs="Arial"/>
          <w:sz w:val="24"/>
          <w:szCs w:val="24"/>
        </w:rPr>
        <w:t xml:space="preserve"> </w:t>
      </w:r>
      <w:r w:rsidRPr="007849E9">
        <w:rPr>
          <w:rFonts w:ascii="Arial" w:eastAsiaTheme="minorEastAsia" w:hAnsi="Arial" w:cs="Arial"/>
          <w:sz w:val="24"/>
          <w:szCs w:val="24"/>
        </w:rPr>
        <w:t xml:space="preserve">ml) and site of injection (deep intragluteal) make it impractical for patients to self-inject, </w:t>
      </w:r>
      <w:r w:rsidR="00826A2F">
        <w:rPr>
          <w:rFonts w:ascii="Arial" w:eastAsiaTheme="minorEastAsia" w:hAnsi="Arial" w:cs="Arial"/>
          <w:sz w:val="24"/>
          <w:szCs w:val="24"/>
        </w:rPr>
        <w:t>so they d</w:t>
      </w:r>
      <w:r w:rsidRPr="007849E9">
        <w:rPr>
          <w:rFonts w:ascii="Arial" w:eastAsiaTheme="minorEastAsia" w:hAnsi="Arial" w:cs="Arial"/>
          <w:sz w:val="24"/>
          <w:szCs w:val="24"/>
        </w:rPr>
        <w:t>epend</w:t>
      </w:r>
      <w:r w:rsidR="00826A2F">
        <w:rPr>
          <w:rFonts w:ascii="Arial" w:eastAsiaTheme="minorEastAsia" w:hAnsi="Arial" w:cs="Arial"/>
          <w:sz w:val="24"/>
          <w:szCs w:val="24"/>
        </w:rPr>
        <w:t xml:space="preserve"> </w:t>
      </w:r>
      <w:r w:rsidRPr="007849E9">
        <w:rPr>
          <w:rFonts w:ascii="Arial" w:eastAsiaTheme="minorEastAsia" w:hAnsi="Arial" w:cs="Arial"/>
          <w:sz w:val="24"/>
          <w:szCs w:val="24"/>
        </w:rPr>
        <w:t xml:space="preserve">on GP Practice Nurses or District Nurses for these.  </w:t>
      </w:r>
    </w:p>
    <w:p w14:paraId="085FA908"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Patients experience less discomfort and less frequent fat embolism symptoms (cough and dyspnoea - fortunately transient and a rare occurrence) when the injection is administered with them standing on their own two feet and leaning forwards at around 50</w:t>
      </w:r>
      <w:r w:rsidR="00826A2F">
        <w:rPr>
          <w:rFonts w:ascii="Arial" w:eastAsiaTheme="minorEastAsia" w:hAnsi="Arial" w:cs="Arial"/>
          <w:sz w:val="24"/>
          <w:szCs w:val="24"/>
          <w:vertAlign w:val="superscript"/>
        </w:rPr>
        <w:t>o</w:t>
      </w:r>
      <w:r w:rsidRPr="007849E9">
        <w:rPr>
          <w:rFonts w:ascii="Arial" w:eastAsiaTheme="minorEastAsia" w:hAnsi="Arial" w:cs="Arial"/>
          <w:sz w:val="24"/>
          <w:szCs w:val="24"/>
        </w:rPr>
        <w:t xml:space="preserve">, resting their upper body and arms on a couch.  </w:t>
      </w:r>
    </w:p>
    <w:p w14:paraId="58E44B61"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The injection should be administered over </w:t>
      </w:r>
      <w:r w:rsidR="00826A2F">
        <w:rPr>
          <w:rFonts w:ascii="Arial" w:eastAsiaTheme="minorEastAsia" w:hAnsi="Arial" w:cs="Arial"/>
          <w:sz w:val="24"/>
          <w:szCs w:val="24"/>
        </w:rPr>
        <w:t>1‒2</w:t>
      </w:r>
      <w:r w:rsidRPr="007849E9">
        <w:rPr>
          <w:rFonts w:ascii="Arial" w:eastAsiaTheme="minorEastAsia" w:hAnsi="Arial" w:cs="Arial"/>
          <w:sz w:val="24"/>
          <w:szCs w:val="24"/>
        </w:rPr>
        <w:t xml:space="preserve"> minutes with 5 ml syringe; trying to inject it much faster is anyway difficult as the fluid is quite viscous.  </w:t>
      </w:r>
      <w:r w:rsidR="004D5334">
        <w:rPr>
          <w:rFonts w:ascii="Arial" w:eastAsiaTheme="minorEastAsia" w:hAnsi="Arial" w:cs="Arial"/>
          <w:sz w:val="24"/>
          <w:szCs w:val="24"/>
        </w:rPr>
        <w:t>The g</w:t>
      </w:r>
      <w:r w:rsidRPr="007849E9">
        <w:rPr>
          <w:rFonts w:ascii="Arial" w:eastAsiaTheme="minorEastAsia" w:hAnsi="Arial" w:cs="Arial"/>
          <w:sz w:val="24"/>
          <w:szCs w:val="24"/>
        </w:rPr>
        <w:t xml:space="preserve">eneral recommendation is to use green needles for deep intramuscular injection, but </w:t>
      </w:r>
      <w:r w:rsidR="004D5334">
        <w:rPr>
          <w:rFonts w:ascii="Arial" w:eastAsiaTheme="minorEastAsia" w:hAnsi="Arial" w:cs="Arial"/>
          <w:sz w:val="24"/>
          <w:szCs w:val="24"/>
        </w:rPr>
        <w:t xml:space="preserve">it is also </w:t>
      </w:r>
      <w:r w:rsidRPr="007849E9">
        <w:rPr>
          <w:rFonts w:ascii="Arial" w:eastAsiaTheme="minorEastAsia" w:hAnsi="Arial" w:cs="Arial"/>
          <w:sz w:val="24"/>
          <w:szCs w:val="24"/>
        </w:rPr>
        <w:t xml:space="preserve">perfectly OK </w:t>
      </w:r>
      <w:r w:rsidR="004D5334">
        <w:rPr>
          <w:rFonts w:ascii="Arial" w:eastAsiaTheme="minorEastAsia" w:hAnsi="Arial" w:cs="Arial"/>
          <w:sz w:val="24"/>
          <w:szCs w:val="24"/>
        </w:rPr>
        <w:t xml:space="preserve">to </w:t>
      </w:r>
      <w:r w:rsidRPr="007849E9">
        <w:rPr>
          <w:rFonts w:ascii="Arial" w:eastAsiaTheme="minorEastAsia" w:hAnsi="Arial" w:cs="Arial"/>
          <w:sz w:val="24"/>
          <w:szCs w:val="24"/>
        </w:rPr>
        <w:t>us</w:t>
      </w:r>
      <w:r w:rsidR="004D5334">
        <w:rPr>
          <w:rFonts w:ascii="Arial" w:eastAsiaTheme="minorEastAsia" w:hAnsi="Arial" w:cs="Arial"/>
          <w:sz w:val="24"/>
          <w:szCs w:val="24"/>
        </w:rPr>
        <w:t>e</w:t>
      </w:r>
      <w:r w:rsidRPr="007849E9">
        <w:rPr>
          <w:rFonts w:ascii="Arial" w:eastAsiaTheme="minorEastAsia" w:hAnsi="Arial" w:cs="Arial"/>
          <w:sz w:val="24"/>
          <w:szCs w:val="24"/>
        </w:rPr>
        <w:t xml:space="preserve"> the smaller blue needle</w:t>
      </w:r>
      <w:r w:rsidR="004D5334">
        <w:rPr>
          <w:rFonts w:ascii="Arial" w:eastAsiaTheme="minorEastAsia" w:hAnsi="Arial" w:cs="Arial"/>
          <w:sz w:val="24"/>
          <w:szCs w:val="24"/>
        </w:rPr>
        <w:t xml:space="preserve"> so long as it is injected </w:t>
      </w:r>
      <w:r w:rsidR="00826A2F">
        <w:rPr>
          <w:rFonts w:ascii="Arial" w:eastAsiaTheme="minorEastAsia" w:hAnsi="Arial" w:cs="Arial"/>
          <w:sz w:val="24"/>
          <w:szCs w:val="24"/>
        </w:rPr>
        <w:t>very</w:t>
      </w:r>
      <w:r w:rsidR="004D5334">
        <w:rPr>
          <w:rFonts w:ascii="Arial" w:eastAsiaTheme="minorEastAsia" w:hAnsi="Arial" w:cs="Arial"/>
          <w:sz w:val="24"/>
          <w:szCs w:val="24"/>
        </w:rPr>
        <w:t xml:space="preserve"> slowly</w:t>
      </w:r>
      <w:r w:rsidRPr="007849E9">
        <w:rPr>
          <w:rFonts w:ascii="Arial" w:eastAsiaTheme="minorEastAsia" w:hAnsi="Arial" w:cs="Arial"/>
          <w:sz w:val="24"/>
          <w:szCs w:val="24"/>
        </w:rPr>
        <w:t xml:space="preserve">.  </w:t>
      </w:r>
    </w:p>
    <w:p w14:paraId="492CC046"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The injection is also a lot more comfortable if the liquid is warmed, before being drawn up.  We recommend filling a cup from the hot water tap and placing the ampoule in it to warm up for a minute before drawing the liquid up into the syringe.</w:t>
      </w:r>
    </w:p>
    <w:p w14:paraId="54D916D1" w14:textId="77777777" w:rsidR="007849E9" w:rsidRPr="007849E9" w:rsidRDefault="007849E9" w:rsidP="00826A2F">
      <w:pPr>
        <w:numPr>
          <w:ilvl w:val="0"/>
          <w:numId w:val="1"/>
        </w:numPr>
        <w:spacing w:before="360" w:after="0" w:line="288" w:lineRule="auto"/>
        <w:ind w:left="357" w:hanging="357"/>
        <w:jc w:val="both"/>
        <w:rPr>
          <w:rFonts w:ascii="Arial" w:eastAsia="Calibri" w:hAnsi="Arial" w:cs="Arial"/>
          <w:b/>
          <w:sz w:val="24"/>
          <w:szCs w:val="24"/>
        </w:rPr>
      </w:pPr>
      <w:r w:rsidRPr="007849E9">
        <w:rPr>
          <w:rFonts w:ascii="Arial" w:eastAsia="Calibri" w:hAnsi="Arial" w:cs="Arial"/>
          <w:b/>
          <w:sz w:val="24"/>
          <w:szCs w:val="24"/>
        </w:rPr>
        <w:t xml:space="preserve">How to initiate treatment with </w:t>
      </w:r>
      <w:r w:rsidR="004D5334">
        <w:rPr>
          <w:rFonts w:ascii="Arial" w:eastAsia="Calibri" w:hAnsi="Arial" w:cs="Arial"/>
          <w:b/>
          <w:sz w:val="24"/>
          <w:szCs w:val="24"/>
        </w:rPr>
        <w:t>TE</w:t>
      </w:r>
      <w:r w:rsidRPr="007849E9">
        <w:rPr>
          <w:rFonts w:ascii="Arial" w:eastAsia="Calibri" w:hAnsi="Arial" w:cs="Arial"/>
          <w:b/>
          <w:sz w:val="24"/>
          <w:szCs w:val="24"/>
        </w:rPr>
        <w:t>?</w:t>
      </w:r>
    </w:p>
    <w:p w14:paraId="274D4484" w14:textId="77777777" w:rsidR="007849E9" w:rsidRPr="007849E9" w:rsidRDefault="00E3206F" w:rsidP="00826A2F">
      <w:pPr>
        <w:spacing w:before="120" w:after="0" w:line="288" w:lineRule="auto"/>
        <w:jc w:val="both"/>
        <w:rPr>
          <w:rFonts w:ascii="Arial" w:eastAsiaTheme="minorEastAsia" w:hAnsi="Arial" w:cs="Arial"/>
          <w:sz w:val="24"/>
          <w:szCs w:val="24"/>
        </w:rPr>
      </w:pPr>
      <w:r>
        <w:rPr>
          <w:rFonts w:ascii="Arial" w:eastAsiaTheme="minorEastAsia" w:hAnsi="Arial" w:cs="Arial"/>
          <w:sz w:val="24"/>
          <w:szCs w:val="24"/>
        </w:rPr>
        <w:t>T</w:t>
      </w:r>
      <w:r w:rsidR="007849E9" w:rsidRPr="007849E9">
        <w:rPr>
          <w:rFonts w:ascii="Arial" w:eastAsiaTheme="minorEastAsia" w:hAnsi="Arial" w:cs="Arial"/>
          <w:sz w:val="24"/>
          <w:szCs w:val="24"/>
        </w:rPr>
        <w:t xml:space="preserve">he data sheet </w:t>
      </w:r>
      <w:r>
        <w:rPr>
          <w:rFonts w:ascii="Arial" w:eastAsiaTheme="minorEastAsia" w:hAnsi="Arial" w:cs="Arial"/>
          <w:sz w:val="24"/>
          <w:szCs w:val="24"/>
        </w:rPr>
        <w:t>suggests</w:t>
      </w:r>
      <w:r w:rsidR="007849E9" w:rsidRPr="007849E9">
        <w:rPr>
          <w:rFonts w:ascii="Arial" w:eastAsiaTheme="minorEastAsia" w:hAnsi="Arial" w:cs="Arial"/>
          <w:sz w:val="24"/>
          <w:szCs w:val="24"/>
        </w:rPr>
        <w:t xml:space="preserve"> </w:t>
      </w:r>
      <w:r w:rsidR="004D5334" w:rsidRPr="007849E9">
        <w:rPr>
          <w:rFonts w:ascii="Arial" w:eastAsiaTheme="minorEastAsia" w:hAnsi="Arial" w:cs="Arial"/>
          <w:sz w:val="24"/>
          <w:szCs w:val="24"/>
        </w:rPr>
        <w:t>giv</w:t>
      </w:r>
      <w:r w:rsidR="004D5334">
        <w:rPr>
          <w:rFonts w:ascii="Arial" w:eastAsiaTheme="minorEastAsia" w:hAnsi="Arial" w:cs="Arial"/>
          <w:sz w:val="24"/>
          <w:szCs w:val="24"/>
        </w:rPr>
        <w:t>ing</w:t>
      </w:r>
      <w:r w:rsidR="007849E9" w:rsidRPr="007849E9">
        <w:rPr>
          <w:rFonts w:ascii="Arial" w:eastAsiaTheme="minorEastAsia" w:hAnsi="Arial" w:cs="Arial"/>
          <w:sz w:val="24"/>
          <w:szCs w:val="24"/>
        </w:rPr>
        <w:t xml:space="preserve"> the first two injections </w:t>
      </w:r>
      <w:r w:rsidR="004D5334">
        <w:rPr>
          <w:rFonts w:ascii="Arial" w:eastAsiaTheme="minorEastAsia" w:hAnsi="Arial" w:cs="Arial"/>
          <w:sz w:val="24"/>
          <w:szCs w:val="24"/>
        </w:rPr>
        <w:t>6</w:t>
      </w:r>
      <w:r w:rsidR="007849E9" w:rsidRPr="007849E9">
        <w:rPr>
          <w:rFonts w:ascii="Arial" w:eastAsiaTheme="minorEastAsia" w:hAnsi="Arial" w:cs="Arial"/>
          <w:sz w:val="24"/>
          <w:szCs w:val="24"/>
        </w:rPr>
        <w:t xml:space="preserve"> weeks apart, </w:t>
      </w:r>
      <w:r>
        <w:rPr>
          <w:rFonts w:ascii="Arial" w:eastAsiaTheme="minorEastAsia" w:hAnsi="Arial" w:cs="Arial"/>
          <w:sz w:val="24"/>
          <w:szCs w:val="24"/>
        </w:rPr>
        <w:t xml:space="preserve">but </w:t>
      </w:r>
      <w:r w:rsidR="007849E9" w:rsidRPr="007849E9">
        <w:rPr>
          <w:rFonts w:ascii="Arial" w:eastAsiaTheme="minorEastAsia" w:hAnsi="Arial" w:cs="Arial"/>
          <w:sz w:val="24"/>
          <w:szCs w:val="24"/>
        </w:rPr>
        <w:t xml:space="preserve">our experience is that </w:t>
      </w:r>
      <w:r>
        <w:rPr>
          <w:rFonts w:ascii="Arial" w:eastAsiaTheme="minorEastAsia" w:hAnsi="Arial" w:cs="Arial"/>
          <w:sz w:val="24"/>
          <w:szCs w:val="24"/>
        </w:rPr>
        <w:t>a longer</w:t>
      </w:r>
      <w:r w:rsidR="007849E9" w:rsidRPr="007849E9">
        <w:rPr>
          <w:rFonts w:ascii="Arial" w:eastAsiaTheme="minorEastAsia" w:hAnsi="Arial" w:cs="Arial"/>
          <w:sz w:val="24"/>
          <w:szCs w:val="24"/>
        </w:rPr>
        <w:t xml:space="preserve"> interval between the first </w:t>
      </w:r>
      <w:r w:rsidR="004D5334">
        <w:rPr>
          <w:rFonts w:ascii="Arial" w:eastAsiaTheme="minorEastAsia" w:hAnsi="Arial" w:cs="Arial"/>
          <w:sz w:val="24"/>
          <w:szCs w:val="24"/>
        </w:rPr>
        <w:t>2</w:t>
      </w:r>
      <w:r w:rsidR="007849E9" w:rsidRPr="007849E9">
        <w:rPr>
          <w:rFonts w:ascii="Arial" w:eastAsiaTheme="minorEastAsia" w:hAnsi="Arial" w:cs="Arial"/>
          <w:sz w:val="24"/>
          <w:szCs w:val="24"/>
        </w:rPr>
        <w:t xml:space="preserve"> injections </w:t>
      </w:r>
      <w:r>
        <w:rPr>
          <w:rFonts w:ascii="Arial" w:eastAsiaTheme="minorEastAsia" w:hAnsi="Arial" w:cs="Arial"/>
          <w:sz w:val="24"/>
          <w:szCs w:val="24"/>
        </w:rPr>
        <w:t>(</w:t>
      </w:r>
      <w:r w:rsidR="007849E9" w:rsidRPr="007849E9">
        <w:rPr>
          <w:rFonts w:ascii="Arial" w:eastAsiaTheme="minorEastAsia" w:hAnsi="Arial" w:cs="Arial"/>
          <w:sz w:val="24"/>
          <w:szCs w:val="24"/>
        </w:rPr>
        <w:t>8</w:t>
      </w:r>
      <w:r w:rsidR="004D5334">
        <w:rPr>
          <w:rFonts w:ascii="Arial" w:eastAsiaTheme="minorEastAsia" w:hAnsi="Arial" w:cs="Arial"/>
          <w:sz w:val="24"/>
          <w:szCs w:val="24"/>
        </w:rPr>
        <w:t>‒10 weeks</w:t>
      </w:r>
      <w:r w:rsidR="007849E9" w:rsidRPr="007849E9">
        <w:rPr>
          <w:rFonts w:ascii="Arial" w:eastAsiaTheme="minorEastAsia" w:hAnsi="Arial" w:cs="Arial"/>
          <w:sz w:val="24"/>
          <w:szCs w:val="24"/>
        </w:rPr>
        <w:t>, depending upon patient size</w:t>
      </w:r>
      <w:r>
        <w:rPr>
          <w:rFonts w:ascii="Arial" w:eastAsiaTheme="minorEastAsia" w:hAnsi="Arial" w:cs="Arial"/>
          <w:sz w:val="24"/>
          <w:szCs w:val="24"/>
        </w:rPr>
        <w:t>) is perfectly adequate</w:t>
      </w:r>
      <w:r w:rsidR="007849E9" w:rsidRPr="007849E9">
        <w:rPr>
          <w:rFonts w:ascii="Arial" w:eastAsiaTheme="minorEastAsia" w:hAnsi="Arial" w:cs="Arial"/>
          <w:sz w:val="24"/>
          <w:szCs w:val="24"/>
        </w:rPr>
        <w:t xml:space="preserve">.  </w:t>
      </w:r>
    </w:p>
    <w:p w14:paraId="5A4A47B4"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We recommend that the </w:t>
      </w:r>
      <w:r w:rsidR="004D5334">
        <w:rPr>
          <w:rFonts w:ascii="Arial" w:eastAsiaTheme="minorEastAsia" w:hAnsi="Arial" w:cs="Arial"/>
          <w:sz w:val="24"/>
          <w:szCs w:val="24"/>
        </w:rPr>
        <w:t>3</w:t>
      </w:r>
      <w:r w:rsidR="004D5334" w:rsidRPr="004D5334">
        <w:rPr>
          <w:rFonts w:ascii="Arial" w:eastAsiaTheme="minorEastAsia" w:hAnsi="Arial" w:cs="Arial"/>
          <w:sz w:val="24"/>
          <w:szCs w:val="24"/>
          <w:vertAlign w:val="superscript"/>
        </w:rPr>
        <w:t>rd</w:t>
      </w:r>
      <w:r w:rsidR="004D5334">
        <w:rPr>
          <w:rFonts w:ascii="Arial" w:eastAsiaTheme="minorEastAsia" w:hAnsi="Arial" w:cs="Arial"/>
          <w:sz w:val="24"/>
          <w:szCs w:val="24"/>
        </w:rPr>
        <w:t xml:space="preserve"> </w:t>
      </w:r>
      <w:r w:rsidRPr="007849E9">
        <w:rPr>
          <w:rFonts w:ascii="Arial" w:eastAsiaTheme="minorEastAsia" w:hAnsi="Arial" w:cs="Arial"/>
          <w:sz w:val="24"/>
          <w:szCs w:val="24"/>
        </w:rPr>
        <w:t>injection is given 12</w:t>
      </w:r>
      <w:r w:rsidR="004D5334" w:rsidRPr="004D5334">
        <w:rPr>
          <w:rFonts w:ascii="Arial" w:eastAsiaTheme="minorEastAsia" w:hAnsi="Arial" w:cs="Arial"/>
          <w:sz w:val="24"/>
          <w:szCs w:val="24"/>
        </w:rPr>
        <w:t>‒1</w:t>
      </w:r>
      <w:r w:rsidR="004D5334">
        <w:rPr>
          <w:rFonts w:ascii="Arial" w:eastAsiaTheme="minorEastAsia" w:hAnsi="Arial" w:cs="Arial"/>
          <w:sz w:val="24"/>
          <w:szCs w:val="24"/>
        </w:rPr>
        <w:t>4</w:t>
      </w:r>
      <w:r w:rsidRPr="007849E9">
        <w:rPr>
          <w:rFonts w:ascii="Arial" w:eastAsiaTheme="minorEastAsia" w:hAnsi="Arial" w:cs="Arial"/>
          <w:sz w:val="24"/>
          <w:szCs w:val="24"/>
        </w:rPr>
        <w:t xml:space="preserve"> weeks after the </w:t>
      </w:r>
      <w:r w:rsidR="004D5334">
        <w:rPr>
          <w:rFonts w:ascii="Arial" w:eastAsiaTheme="minorEastAsia" w:hAnsi="Arial" w:cs="Arial"/>
          <w:sz w:val="24"/>
          <w:szCs w:val="24"/>
        </w:rPr>
        <w:t>2</w:t>
      </w:r>
      <w:r w:rsidR="004D5334" w:rsidRPr="004D5334">
        <w:rPr>
          <w:rFonts w:ascii="Arial" w:eastAsiaTheme="minorEastAsia" w:hAnsi="Arial" w:cs="Arial"/>
          <w:sz w:val="24"/>
          <w:szCs w:val="24"/>
          <w:vertAlign w:val="superscript"/>
        </w:rPr>
        <w:t>nd</w:t>
      </w:r>
      <w:r w:rsidR="004D5334">
        <w:rPr>
          <w:rFonts w:ascii="Arial" w:eastAsiaTheme="minorEastAsia" w:hAnsi="Arial" w:cs="Arial"/>
          <w:sz w:val="24"/>
          <w:szCs w:val="24"/>
        </w:rPr>
        <w:t xml:space="preserve"> </w:t>
      </w:r>
      <w:r w:rsidRPr="007849E9">
        <w:rPr>
          <w:rFonts w:ascii="Arial" w:eastAsiaTheme="minorEastAsia" w:hAnsi="Arial" w:cs="Arial"/>
          <w:sz w:val="24"/>
          <w:szCs w:val="24"/>
        </w:rPr>
        <w:t xml:space="preserve">one and that bloods are taken just before the </w:t>
      </w:r>
      <w:r w:rsidR="004D5334">
        <w:rPr>
          <w:rFonts w:ascii="Arial" w:eastAsiaTheme="minorEastAsia" w:hAnsi="Arial" w:cs="Arial"/>
          <w:sz w:val="24"/>
          <w:szCs w:val="24"/>
        </w:rPr>
        <w:t>3</w:t>
      </w:r>
      <w:r w:rsidR="004D5334" w:rsidRPr="004D5334">
        <w:rPr>
          <w:rFonts w:ascii="Arial" w:eastAsiaTheme="minorEastAsia" w:hAnsi="Arial" w:cs="Arial"/>
          <w:sz w:val="24"/>
          <w:szCs w:val="24"/>
          <w:vertAlign w:val="superscript"/>
        </w:rPr>
        <w:t>rd</w:t>
      </w:r>
      <w:r w:rsidR="004D5334">
        <w:rPr>
          <w:rFonts w:ascii="Arial" w:eastAsiaTheme="minorEastAsia" w:hAnsi="Arial" w:cs="Arial"/>
          <w:sz w:val="24"/>
          <w:szCs w:val="24"/>
        </w:rPr>
        <w:t xml:space="preserve"> </w:t>
      </w:r>
      <w:r w:rsidRPr="007849E9">
        <w:rPr>
          <w:rFonts w:ascii="Arial" w:eastAsiaTheme="minorEastAsia" w:hAnsi="Arial" w:cs="Arial"/>
          <w:sz w:val="24"/>
          <w:szCs w:val="24"/>
        </w:rPr>
        <w:t xml:space="preserve">injection is given (we call these “trough” bloods).  These results will then help us to determine the interval for future injections.  </w:t>
      </w:r>
    </w:p>
    <w:p w14:paraId="6EADB6BB" w14:textId="77777777" w:rsidR="007849E9" w:rsidRPr="007849E9" w:rsidRDefault="007849E9" w:rsidP="00826A2F">
      <w:pPr>
        <w:numPr>
          <w:ilvl w:val="0"/>
          <w:numId w:val="1"/>
        </w:numPr>
        <w:spacing w:before="360" w:after="0" w:line="288" w:lineRule="auto"/>
        <w:ind w:left="357" w:hanging="357"/>
        <w:jc w:val="both"/>
        <w:rPr>
          <w:rFonts w:ascii="Arial" w:eastAsia="Calibri" w:hAnsi="Arial" w:cs="Arial"/>
          <w:b/>
          <w:sz w:val="24"/>
          <w:szCs w:val="24"/>
        </w:rPr>
      </w:pPr>
      <w:r w:rsidRPr="007849E9">
        <w:rPr>
          <w:rFonts w:ascii="Arial" w:eastAsia="Calibri" w:hAnsi="Arial" w:cs="Arial"/>
          <w:b/>
          <w:sz w:val="24"/>
          <w:szCs w:val="24"/>
        </w:rPr>
        <w:t xml:space="preserve">What is the typical interval between </w:t>
      </w:r>
      <w:r w:rsidR="004D5334">
        <w:rPr>
          <w:rFonts w:ascii="Arial" w:eastAsia="Calibri" w:hAnsi="Arial" w:cs="Arial"/>
          <w:b/>
          <w:sz w:val="24"/>
          <w:szCs w:val="24"/>
        </w:rPr>
        <w:t>TE</w:t>
      </w:r>
      <w:r w:rsidRPr="007849E9">
        <w:rPr>
          <w:rFonts w:ascii="Arial" w:eastAsia="Calibri" w:hAnsi="Arial" w:cs="Arial"/>
          <w:b/>
          <w:sz w:val="24"/>
          <w:szCs w:val="24"/>
        </w:rPr>
        <w:t xml:space="preserve"> injections? </w:t>
      </w:r>
    </w:p>
    <w:p w14:paraId="194804D2"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Although the data sheet suggest</w:t>
      </w:r>
      <w:r w:rsidR="005D4976">
        <w:rPr>
          <w:rFonts w:ascii="Arial" w:eastAsiaTheme="minorEastAsia" w:hAnsi="Arial" w:cs="Arial"/>
          <w:sz w:val="24"/>
          <w:szCs w:val="24"/>
        </w:rPr>
        <w:t>s</w:t>
      </w:r>
      <w:r w:rsidRPr="007849E9">
        <w:rPr>
          <w:rFonts w:ascii="Arial" w:eastAsiaTheme="minorEastAsia" w:hAnsi="Arial" w:cs="Arial"/>
          <w:sz w:val="24"/>
          <w:szCs w:val="24"/>
        </w:rPr>
        <w:t xml:space="preserve"> a routine </w:t>
      </w:r>
      <w:r w:rsidR="004D5334" w:rsidRPr="007849E9">
        <w:rPr>
          <w:rFonts w:ascii="Arial" w:eastAsiaTheme="minorEastAsia" w:hAnsi="Arial" w:cs="Arial"/>
          <w:sz w:val="24"/>
          <w:szCs w:val="24"/>
        </w:rPr>
        <w:t>1</w:t>
      </w:r>
      <w:r w:rsidR="004D5334">
        <w:rPr>
          <w:rFonts w:ascii="Arial" w:eastAsiaTheme="minorEastAsia" w:hAnsi="Arial" w:cs="Arial"/>
          <w:sz w:val="24"/>
          <w:szCs w:val="24"/>
        </w:rPr>
        <w:t>0</w:t>
      </w:r>
      <w:r w:rsidR="004D5334" w:rsidRPr="004D5334">
        <w:rPr>
          <w:rFonts w:ascii="Arial" w:eastAsiaTheme="minorEastAsia" w:hAnsi="Arial" w:cs="Arial"/>
          <w:sz w:val="24"/>
          <w:szCs w:val="24"/>
        </w:rPr>
        <w:t>‒1</w:t>
      </w:r>
      <w:r w:rsidR="004D5334">
        <w:rPr>
          <w:rFonts w:ascii="Arial" w:eastAsiaTheme="minorEastAsia" w:hAnsi="Arial" w:cs="Arial"/>
          <w:sz w:val="24"/>
          <w:szCs w:val="24"/>
        </w:rPr>
        <w:t>4</w:t>
      </w:r>
      <w:r w:rsidR="004D5334" w:rsidRPr="007849E9">
        <w:rPr>
          <w:rFonts w:ascii="Arial" w:eastAsiaTheme="minorEastAsia" w:hAnsi="Arial" w:cs="Arial"/>
          <w:sz w:val="24"/>
          <w:szCs w:val="24"/>
        </w:rPr>
        <w:t xml:space="preserve"> </w:t>
      </w:r>
      <w:r w:rsidRPr="007849E9">
        <w:rPr>
          <w:rFonts w:ascii="Arial" w:eastAsiaTheme="minorEastAsia" w:hAnsi="Arial" w:cs="Arial"/>
          <w:sz w:val="24"/>
          <w:szCs w:val="24"/>
        </w:rPr>
        <w:t>-week interval, our experience is that t</w:t>
      </w:r>
      <w:r w:rsidR="005E2E64">
        <w:rPr>
          <w:rFonts w:ascii="Arial" w:eastAsiaTheme="minorEastAsia" w:hAnsi="Arial" w:cs="Arial"/>
          <w:sz w:val="24"/>
          <w:szCs w:val="24"/>
        </w:rPr>
        <w:t>his is too frequent for many</w:t>
      </w:r>
      <w:r w:rsidRPr="007849E9">
        <w:rPr>
          <w:rFonts w:ascii="Arial" w:eastAsiaTheme="minorEastAsia" w:hAnsi="Arial" w:cs="Arial"/>
          <w:sz w:val="24"/>
          <w:szCs w:val="24"/>
        </w:rPr>
        <w:t xml:space="preserve">, particularly older </w:t>
      </w:r>
      <w:r w:rsidR="005E2E64">
        <w:rPr>
          <w:rFonts w:ascii="Arial" w:eastAsiaTheme="minorEastAsia" w:hAnsi="Arial" w:cs="Arial"/>
          <w:sz w:val="24"/>
          <w:szCs w:val="24"/>
        </w:rPr>
        <w:t>or smaller men</w:t>
      </w:r>
      <w:r w:rsidRPr="007849E9">
        <w:rPr>
          <w:rFonts w:ascii="Arial" w:eastAsiaTheme="minorEastAsia" w:hAnsi="Arial" w:cs="Arial"/>
          <w:sz w:val="24"/>
          <w:szCs w:val="24"/>
        </w:rPr>
        <w:t>, who may be at risk of polycythaemia/erythrocytosis with a standard 12-week interval.  The overall range in our patients 10</w:t>
      </w:r>
      <w:r w:rsidR="005E2E64">
        <w:rPr>
          <w:rFonts w:ascii="Arial" w:eastAsiaTheme="minorEastAsia" w:hAnsi="Arial" w:cs="Arial"/>
          <w:sz w:val="24"/>
          <w:szCs w:val="24"/>
        </w:rPr>
        <w:t>‒</w:t>
      </w:r>
      <w:r w:rsidRPr="007849E9">
        <w:rPr>
          <w:rFonts w:ascii="Arial" w:eastAsiaTheme="minorEastAsia" w:hAnsi="Arial" w:cs="Arial"/>
          <w:sz w:val="24"/>
          <w:szCs w:val="24"/>
        </w:rPr>
        <w:t xml:space="preserve">20 weeks, with the mode being around 13 weeks.  </w:t>
      </w:r>
    </w:p>
    <w:p w14:paraId="7AED9A84" w14:textId="77777777" w:rsidR="007849E9" w:rsidRPr="007849E9" w:rsidRDefault="007849E9" w:rsidP="00826A2F">
      <w:pPr>
        <w:numPr>
          <w:ilvl w:val="0"/>
          <w:numId w:val="1"/>
        </w:numPr>
        <w:spacing w:before="360" w:after="0" w:line="288" w:lineRule="auto"/>
        <w:ind w:left="357" w:hanging="357"/>
        <w:jc w:val="both"/>
        <w:rPr>
          <w:rFonts w:ascii="Arial" w:eastAsia="Calibri" w:hAnsi="Arial" w:cs="Arial"/>
          <w:b/>
          <w:sz w:val="24"/>
          <w:szCs w:val="24"/>
        </w:rPr>
      </w:pPr>
      <w:r w:rsidRPr="007849E9">
        <w:rPr>
          <w:rFonts w:ascii="Arial" w:eastAsia="Calibri" w:hAnsi="Arial" w:cs="Arial"/>
          <w:b/>
          <w:sz w:val="24"/>
          <w:szCs w:val="24"/>
        </w:rPr>
        <w:t xml:space="preserve">How frequently to perform blood test monitoring for </w:t>
      </w:r>
      <w:r w:rsidR="005E2E64">
        <w:rPr>
          <w:rFonts w:ascii="Arial" w:eastAsia="Calibri" w:hAnsi="Arial" w:cs="Arial"/>
          <w:b/>
          <w:sz w:val="24"/>
          <w:szCs w:val="24"/>
        </w:rPr>
        <w:t>TE</w:t>
      </w:r>
      <w:r w:rsidRPr="007849E9">
        <w:rPr>
          <w:rFonts w:ascii="Arial" w:eastAsia="Calibri" w:hAnsi="Arial" w:cs="Arial"/>
          <w:b/>
          <w:sz w:val="24"/>
          <w:szCs w:val="24"/>
        </w:rPr>
        <w:t xml:space="preserve"> injections?</w:t>
      </w:r>
    </w:p>
    <w:p w14:paraId="084DBCEE"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There will be baseline testosterone levels available, else hypogonadism would not have been diagnosed in the first place, but for safety purposes we need a baseline full blood count in everybody, along with baseline PSA level in the over 40s</w:t>
      </w:r>
      <w:r w:rsidR="005E2E64">
        <w:rPr>
          <w:rFonts w:ascii="Arial" w:eastAsiaTheme="minorEastAsia" w:hAnsi="Arial" w:cs="Arial"/>
          <w:sz w:val="24"/>
          <w:szCs w:val="24"/>
        </w:rPr>
        <w:t xml:space="preserve"> (unless trans)</w:t>
      </w:r>
      <w:r w:rsidRPr="007849E9">
        <w:rPr>
          <w:rFonts w:ascii="Arial" w:eastAsiaTheme="minorEastAsia" w:hAnsi="Arial" w:cs="Arial"/>
          <w:sz w:val="24"/>
          <w:szCs w:val="24"/>
        </w:rPr>
        <w:t>.</w:t>
      </w:r>
    </w:p>
    <w:p w14:paraId="2955BD6B"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The first time point for doing blood tests is just before the </w:t>
      </w:r>
      <w:r w:rsidR="005E2E64">
        <w:rPr>
          <w:rFonts w:ascii="Arial" w:eastAsiaTheme="minorEastAsia" w:hAnsi="Arial" w:cs="Arial"/>
          <w:sz w:val="24"/>
          <w:szCs w:val="24"/>
        </w:rPr>
        <w:t>3</w:t>
      </w:r>
      <w:r w:rsidR="005E2E64" w:rsidRPr="005E2E64">
        <w:rPr>
          <w:rFonts w:ascii="Arial" w:eastAsiaTheme="minorEastAsia" w:hAnsi="Arial" w:cs="Arial"/>
          <w:sz w:val="24"/>
          <w:szCs w:val="24"/>
          <w:vertAlign w:val="superscript"/>
        </w:rPr>
        <w:t>rd</w:t>
      </w:r>
      <w:r w:rsidR="005E2E64">
        <w:rPr>
          <w:rFonts w:ascii="Arial" w:eastAsiaTheme="minorEastAsia" w:hAnsi="Arial" w:cs="Arial"/>
          <w:sz w:val="24"/>
          <w:szCs w:val="24"/>
        </w:rPr>
        <w:t xml:space="preserve"> </w:t>
      </w:r>
      <w:r w:rsidRPr="007849E9">
        <w:rPr>
          <w:rFonts w:ascii="Arial" w:eastAsiaTheme="minorEastAsia" w:hAnsi="Arial" w:cs="Arial"/>
          <w:sz w:val="24"/>
          <w:szCs w:val="24"/>
        </w:rPr>
        <w:t>injection is given</w:t>
      </w:r>
      <w:r w:rsidR="005E2E64">
        <w:rPr>
          <w:rFonts w:ascii="Arial" w:eastAsiaTheme="minorEastAsia" w:hAnsi="Arial" w:cs="Arial"/>
          <w:sz w:val="24"/>
          <w:szCs w:val="24"/>
        </w:rPr>
        <w:t>,</w:t>
      </w:r>
      <w:r w:rsidRPr="007849E9">
        <w:rPr>
          <w:rFonts w:ascii="Arial" w:eastAsiaTheme="minorEastAsia" w:hAnsi="Arial" w:cs="Arial"/>
          <w:sz w:val="24"/>
          <w:szCs w:val="24"/>
        </w:rPr>
        <w:t xml:space="preserve"> and the second is just before the fifth injection.  Once the patient is in steady-state, typically around 2 years after initiation of therapy, it is sufficient for trough blood tests to be checked with every third for fourth injection (</w:t>
      </w:r>
      <w:r w:rsidRPr="007849E9">
        <w:rPr>
          <w:rFonts w:ascii="Arial" w:eastAsiaTheme="minorEastAsia" w:hAnsi="Arial" w:cs="Arial"/>
          <w:i/>
          <w:sz w:val="24"/>
          <w:szCs w:val="24"/>
        </w:rPr>
        <w:t>e</w:t>
      </w:r>
      <w:r w:rsidR="005E2E64">
        <w:rPr>
          <w:rFonts w:ascii="Arial" w:eastAsiaTheme="minorEastAsia" w:hAnsi="Arial" w:cs="Arial"/>
          <w:i/>
          <w:sz w:val="24"/>
          <w:szCs w:val="24"/>
        </w:rPr>
        <w:t>.</w:t>
      </w:r>
      <w:r w:rsidRPr="007849E9">
        <w:rPr>
          <w:rFonts w:ascii="Arial" w:eastAsiaTheme="minorEastAsia" w:hAnsi="Arial" w:cs="Arial"/>
          <w:i/>
          <w:sz w:val="24"/>
          <w:szCs w:val="24"/>
        </w:rPr>
        <w:t>g</w:t>
      </w:r>
      <w:r w:rsidRPr="007849E9">
        <w:rPr>
          <w:rFonts w:ascii="Arial" w:eastAsiaTheme="minorEastAsia" w:hAnsi="Arial" w:cs="Arial"/>
          <w:sz w:val="24"/>
          <w:szCs w:val="24"/>
        </w:rPr>
        <w:t>. 9</w:t>
      </w:r>
      <w:r w:rsidR="005E2E64">
        <w:rPr>
          <w:rFonts w:ascii="Arial" w:eastAsiaTheme="minorEastAsia" w:hAnsi="Arial" w:cs="Arial"/>
          <w:sz w:val="24"/>
          <w:szCs w:val="24"/>
        </w:rPr>
        <w:t>‒13</w:t>
      </w:r>
      <w:r w:rsidRPr="007849E9">
        <w:rPr>
          <w:rFonts w:ascii="Arial" w:eastAsiaTheme="minorEastAsia" w:hAnsi="Arial" w:cs="Arial"/>
          <w:sz w:val="24"/>
          <w:szCs w:val="24"/>
        </w:rPr>
        <w:t xml:space="preserve"> monthly).</w:t>
      </w:r>
    </w:p>
    <w:p w14:paraId="59508C3C" w14:textId="77777777" w:rsidR="007849E9" w:rsidRPr="007849E9" w:rsidRDefault="007849E9" w:rsidP="00826A2F">
      <w:pPr>
        <w:spacing w:before="360" w:after="0" w:line="288" w:lineRule="auto"/>
        <w:jc w:val="both"/>
        <w:rPr>
          <w:rFonts w:ascii="Arial" w:eastAsiaTheme="minorEastAsia" w:hAnsi="Arial" w:cs="Arial"/>
          <w:b/>
          <w:sz w:val="24"/>
          <w:szCs w:val="24"/>
        </w:rPr>
      </w:pPr>
      <w:r w:rsidRPr="007849E9">
        <w:rPr>
          <w:rFonts w:ascii="Arial" w:eastAsiaTheme="minorEastAsia" w:hAnsi="Arial" w:cs="Arial"/>
          <w:b/>
          <w:sz w:val="24"/>
          <w:szCs w:val="24"/>
        </w:rPr>
        <w:t xml:space="preserve">What monitoring needs to be performed with </w:t>
      </w:r>
      <w:r w:rsidR="0050265C">
        <w:rPr>
          <w:rFonts w:ascii="Arial" w:eastAsiaTheme="minorEastAsia" w:hAnsi="Arial" w:cs="Arial"/>
          <w:b/>
          <w:sz w:val="24"/>
          <w:szCs w:val="24"/>
        </w:rPr>
        <w:t>TE</w:t>
      </w:r>
      <w:r w:rsidRPr="007849E9">
        <w:rPr>
          <w:rFonts w:ascii="Arial" w:eastAsiaTheme="minorEastAsia" w:hAnsi="Arial" w:cs="Arial"/>
          <w:b/>
          <w:sz w:val="24"/>
          <w:szCs w:val="24"/>
        </w:rPr>
        <w:t xml:space="preserve"> injections?</w:t>
      </w:r>
    </w:p>
    <w:p w14:paraId="0220B5E3" w14:textId="77777777" w:rsidR="007849E9" w:rsidRPr="007849E9" w:rsidRDefault="007849E9" w:rsidP="00826A2F">
      <w:pPr>
        <w:numPr>
          <w:ilvl w:val="0"/>
          <w:numId w:val="3"/>
        </w:numPr>
        <w:spacing w:before="240" w:after="0" w:line="288" w:lineRule="auto"/>
        <w:ind w:left="357" w:hanging="357"/>
        <w:jc w:val="both"/>
        <w:rPr>
          <w:rFonts w:ascii="Arial" w:eastAsia="Calibri" w:hAnsi="Arial" w:cs="Arial"/>
          <w:b/>
          <w:i/>
          <w:sz w:val="24"/>
          <w:szCs w:val="24"/>
        </w:rPr>
      </w:pPr>
      <w:r w:rsidRPr="007849E9">
        <w:rPr>
          <w:rFonts w:ascii="Arial" w:eastAsia="Calibri" w:hAnsi="Arial" w:cs="Arial"/>
          <w:b/>
          <w:i/>
          <w:sz w:val="24"/>
          <w:szCs w:val="24"/>
        </w:rPr>
        <w:t>Haemoglobin &amp; Haematocrit</w:t>
      </w:r>
    </w:p>
    <w:p w14:paraId="3BEE8202" w14:textId="77777777" w:rsidR="007849E9" w:rsidRPr="007849E9" w:rsidRDefault="007849E9" w:rsidP="00826A2F">
      <w:pPr>
        <w:spacing w:before="6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The single most important blood test to do is the full blood count which gives us the haemoglobin and haematocrit.  Testosterone causes a rise in red cell mass in all patients, and it is important that this rise is not excessive in order that patients may avoid venesection.  We recommend maintaining normal range haemoglobin and also ensuring that haematocrit does not rise above 0.50.  Patients who continue to smoke may thus have to accept a greater interval between </w:t>
      </w:r>
      <w:r w:rsidR="005E2E64">
        <w:rPr>
          <w:rFonts w:ascii="Arial" w:eastAsiaTheme="minorEastAsia" w:hAnsi="Arial" w:cs="Arial"/>
          <w:sz w:val="24"/>
          <w:szCs w:val="24"/>
        </w:rPr>
        <w:t>TE</w:t>
      </w:r>
      <w:r w:rsidRPr="007849E9">
        <w:rPr>
          <w:rFonts w:ascii="Arial" w:eastAsiaTheme="minorEastAsia" w:hAnsi="Arial" w:cs="Arial"/>
          <w:sz w:val="24"/>
          <w:szCs w:val="24"/>
        </w:rPr>
        <w:t xml:space="preserve"> injections because of the independent effect of smoking-related hypoxia in promoting haematopoiesis.  </w:t>
      </w:r>
    </w:p>
    <w:p w14:paraId="47FE5794" w14:textId="77777777" w:rsidR="007849E9" w:rsidRPr="007849E9" w:rsidRDefault="007849E9" w:rsidP="00826A2F">
      <w:pPr>
        <w:numPr>
          <w:ilvl w:val="0"/>
          <w:numId w:val="3"/>
        </w:numPr>
        <w:spacing w:before="240" w:after="0" w:line="288" w:lineRule="auto"/>
        <w:ind w:left="357" w:hanging="357"/>
        <w:jc w:val="both"/>
        <w:rPr>
          <w:rFonts w:ascii="Arial" w:eastAsia="Calibri" w:hAnsi="Arial" w:cs="Arial"/>
          <w:b/>
          <w:i/>
          <w:sz w:val="24"/>
          <w:szCs w:val="24"/>
        </w:rPr>
      </w:pPr>
      <w:r w:rsidRPr="007849E9">
        <w:rPr>
          <w:rFonts w:ascii="Arial" w:eastAsia="Calibri" w:hAnsi="Arial" w:cs="Arial"/>
          <w:b/>
          <w:i/>
          <w:sz w:val="24"/>
          <w:szCs w:val="24"/>
        </w:rPr>
        <w:t>Testosterone (total +/- calculated free)</w:t>
      </w:r>
    </w:p>
    <w:p w14:paraId="037292E0" w14:textId="77777777" w:rsidR="0050265C" w:rsidRDefault="007849E9" w:rsidP="00826A2F">
      <w:pPr>
        <w:spacing w:before="6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The next most important blood tests are levels of Testosterone and SHBG.  SHBG will allow your local laboratory to automatically calculate the free testosterone level.  For around 60% of the patients, free testosterone doesn’t add very much, but for </w:t>
      </w:r>
      <w:r w:rsidR="00BA18CF">
        <w:rPr>
          <w:rFonts w:ascii="Arial" w:eastAsiaTheme="minorEastAsia" w:hAnsi="Arial" w:cs="Arial"/>
          <w:sz w:val="24"/>
          <w:szCs w:val="24"/>
        </w:rPr>
        <w:t>the</w:t>
      </w:r>
      <w:r w:rsidRPr="007849E9">
        <w:rPr>
          <w:rFonts w:ascii="Arial" w:eastAsiaTheme="minorEastAsia" w:hAnsi="Arial" w:cs="Arial"/>
          <w:sz w:val="24"/>
          <w:szCs w:val="24"/>
        </w:rPr>
        <w:t xml:space="preserve"> significant minority of patients whose SHBG levels are quite high or quite low, then the free testosterone level </w:t>
      </w:r>
      <w:r w:rsidR="00BA18CF" w:rsidRPr="007849E9">
        <w:rPr>
          <w:rFonts w:ascii="Arial" w:eastAsiaTheme="minorEastAsia" w:hAnsi="Arial" w:cs="Arial"/>
          <w:sz w:val="24"/>
          <w:szCs w:val="24"/>
        </w:rPr>
        <w:t xml:space="preserve">more accurately </w:t>
      </w:r>
      <w:r w:rsidRPr="007849E9">
        <w:rPr>
          <w:rFonts w:ascii="Arial" w:eastAsiaTheme="minorEastAsia" w:hAnsi="Arial" w:cs="Arial"/>
          <w:sz w:val="24"/>
          <w:szCs w:val="24"/>
        </w:rPr>
        <w:t xml:space="preserve">reflects overall androgenicity.  </w:t>
      </w:r>
    </w:p>
    <w:p w14:paraId="5D794123" w14:textId="77777777" w:rsidR="007849E9" w:rsidRPr="007849E9" w:rsidRDefault="007849E9" w:rsidP="00826A2F">
      <w:pPr>
        <w:spacing w:before="6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The most common cause of a low SHBG level is obesity/metabolic syndrome/diabetes risk, with reasons for high SHBG level including liver disease, anticonvulsant therapy, thyrotoxicosis, or an unusually slim body habitus.  </w:t>
      </w:r>
    </w:p>
    <w:p w14:paraId="0FC4CA89" w14:textId="77777777" w:rsidR="007849E9" w:rsidRPr="007849E9" w:rsidRDefault="007849E9" w:rsidP="00826A2F">
      <w:pPr>
        <w:numPr>
          <w:ilvl w:val="0"/>
          <w:numId w:val="1"/>
        </w:numPr>
        <w:spacing w:before="360" w:after="0" w:line="288" w:lineRule="auto"/>
        <w:ind w:left="357" w:hanging="357"/>
        <w:jc w:val="both"/>
        <w:rPr>
          <w:rFonts w:ascii="Arial" w:eastAsia="Calibri" w:hAnsi="Arial" w:cs="Arial"/>
          <w:b/>
          <w:sz w:val="24"/>
          <w:szCs w:val="24"/>
        </w:rPr>
      </w:pPr>
      <w:r w:rsidRPr="007849E9">
        <w:rPr>
          <w:rFonts w:ascii="Arial" w:eastAsia="Calibri" w:hAnsi="Arial" w:cs="Arial"/>
          <w:b/>
          <w:sz w:val="24"/>
          <w:szCs w:val="24"/>
        </w:rPr>
        <w:t xml:space="preserve">What trough blood levels are we actually aiming for?   </w:t>
      </w:r>
    </w:p>
    <w:p w14:paraId="0B9AB60D"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The priority is to ensure that the haemoglobin and haematocrit remain normal range. </w:t>
      </w:r>
    </w:p>
    <w:p w14:paraId="4946C0C0" w14:textId="77777777" w:rsidR="007849E9" w:rsidRPr="007849E9" w:rsidRDefault="00826A2F" w:rsidP="00826A2F">
      <w:pPr>
        <w:spacing w:before="120" w:after="0" w:line="288" w:lineRule="auto"/>
        <w:jc w:val="both"/>
        <w:rPr>
          <w:rFonts w:ascii="Arial" w:eastAsiaTheme="minorEastAsia" w:hAnsi="Arial" w:cs="Arial"/>
          <w:sz w:val="24"/>
          <w:szCs w:val="24"/>
        </w:rPr>
      </w:pPr>
      <w:r>
        <w:rPr>
          <w:rFonts w:ascii="Arial" w:eastAsiaTheme="minorEastAsia" w:hAnsi="Arial" w:cs="Arial"/>
          <w:sz w:val="24"/>
          <w:szCs w:val="24"/>
        </w:rPr>
        <w:t>S</w:t>
      </w:r>
      <w:r w:rsidR="0050265C">
        <w:rPr>
          <w:rFonts w:ascii="Arial" w:eastAsiaTheme="minorEastAsia" w:hAnsi="Arial" w:cs="Arial"/>
          <w:sz w:val="24"/>
          <w:szCs w:val="24"/>
        </w:rPr>
        <w:t>ubject to this and also</w:t>
      </w:r>
      <w:r w:rsidR="004272C4">
        <w:rPr>
          <w:rFonts w:ascii="Arial" w:eastAsiaTheme="minorEastAsia" w:hAnsi="Arial" w:cs="Arial"/>
          <w:sz w:val="24"/>
          <w:szCs w:val="24"/>
        </w:rPr>
        <w:t xml:space="preserve"> patient wellbeing</w:t>
      </w:r>
      <w:r w:rsidR="007849E9" w:rsidRPr="007849E9">
        <w:rPr>
          <w:rFonts w:ascii="Arial" w:eastAsiaTheme="minorEastAsia" w:hAnsi="Arial" w:cs="Arial"/>
          <w:sz w:val="24"/>
          <w:szCs w:val="24"/>
        </w:rPr>
        <w:t xml:space="preserve">, we </w:t>
      </w:r>
      <w:r w:rsidR="004272C4">
        <w:rPr>
          <w:rFonts w:ascii="Arial" w:eastAsiaTheme="minorEastAsia" w:hAnsi="Arial" w:cs="Arial"/>
          <w:sz w:val="24"/>
          <w:szCs w:val="24"/>
        </w:rPr>
        <w:t>generally be aim for</w:t>
      </w:r>
      <w:r w:rsidR="007849E9" w:rsidRPr="007849E9">
        <w:rPr>
          <w:rFonts w:ascii="Arial" w:eastAsiaTheme="minorEastAsia" w:hAnsi="Arial" w:cs="Arial"/>
          <w:sz w:val="24"/>
          <w:szCs w:val="24"/>
        </w:rPr>
        <w:t xml:space="preserve"> trough serum testosterone level</w:t>
      </w:r>
      <w:r w:rsidR="004272C4">
        <w:rPr>
          <w:rFonts w:ascii="Arial" w:eastAsiaTheme="minorEastAsia" w:hAnsi="Arial" w:cs="Arial"/>
          <w:sz w:val="24"/>
          <w:szCs w:val="24"/>
        </w:rPr>
        <w:t>s</w:t>
      </w:r>
      <w:r w:rsidR="007849E9" w:rsidRPr="007849E9">
        <w:rPr>
          <w:rFonts w:ascii="Arial" w:eastAsiaTheme="minorEastAsia" w:hAnsi="Arial" w:cs="Arial"/>
          <w:sz w:val="24"/>
          <w:szCs w:val="24"/>
        </w:rPr>
        <w:t xml:space="preserve"> towards the lower end of the male normal range.  </w:t>
      </w:r>
    </w:p>
    <w:p w14:paraId="3A5D7026" w14:textId="77777777" w:rsidR="007849E9" w:rsidRPr="007849E9" w:rsidRDefault="0050265C" w:rsidP="00826A2F">
      <w:pPr>
        <w:numPr>
          <w:ilvl w:val="0"/>
          <w:numId w:val="1"/>
        </w:numPr>
        <w:spacing w:before="360" w:after="0" w:line="288" w:lineRule="auto"/>
        <w:ind w:left="357" w:hanging="357"/>
        <w:jc w:val="both"/>
        <w:rPr>
          <w:rFonts w:ascii="Arial" w:eastAsia="Calibri" w:hAnsi="Arial" w:cs="Arial"/>
          <w:b/>
          <w:sz w:val="24"/>
          <w:szCs w:val="24"/>
        </w:rPr>
      </w:pPr>
      <w:r>
        <w:rPr>
          <w:rFonts w:ascii="Arial" w:eastAsia="Calibri" w:hAnsi="Arial" w:cs="Arial"/>
          <w:b/>
          <w:sz w:val="24"/>
          <w:szCs w:val="24"/>
        </w:rPr>
        <w:t xml:space="preserve">How </w:t>
      </w:r>
      <w:r w:rsidR="00826A2F">
        <w:rPr>
          <w:rFonts w:ascii="Arial" w:eastAsia="Calibri" w:hAnsi="Arial" w:cs="Arial"/>
          <w:b/>
          <w:sz w:val="24"/>
          <w:szCs w:val="24"/>
        </w:rPr>
        <w:t xml:space="preserve">I </w:t>
      </w:r>
      <w:r w:rsidR="007849E9" w:rsidRPr="007849E9">
        <w:rPr>
          <w:rFonts w:ascii="Arial" w:eastAsia="Calibri" w:hAnsi="Arial" w:cs="Arial"/>
          <w:b/>
          <w:sz w:val="24"/>
          <w:szCs w:val="24"/>
        </w:rPr>
        <w:t xml:space="preserve">can assist you with </w:t>
      </w:r>
      <w:r w:rsidR="00826A2F">
        <w:rPr>
          <w:rFonts w:ascii="Arial" w:eastAsia="Calibri" w:hAnsi="Arial" w:cs="Arial"/>
          <w:b/>
          <w:sz w:val="24"/>
          <w:szCs w:val="24"/>
        </w:rPr>
        <w:t>TE</w:t>
      </w:r>
      <w:r w:rsidR="007849E9" w:rsidRPr="007849E9">
        <w:rPr>
          <w:rFonts w:ascii="Arial" w:eastAsia="Calibri" w:hAnsi="Arial" w:cs="Arial"/>
          <w:b/>
          <w:sz w:val="24"/>
          <w:szCs w:val="24"/>
        </w:rPr>
        <w:t>?</w:t>
      </w:r>
    </w:p>
    <w:p w14:paraId="2DA438F3"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For patients under </w:t>
      </w:r>
      <w:r w:rsidR="00826A2F">
        <w:rPr>
          <w:rFonts w:ascii="Arial" w:eastAsiaTheme="minorEastAsia" w:hAnsi="Arial" w:cs="Arial"/>
          <w:sz w:val="24"/>
          <w:szCs w:val="24"/>
        </w:rPr>
        <w:t>my</w:t>
      </w:r>
      <w:r w:rsidRPr="007849E9">
        <w:rPr>
          <w:rFonts w:ascii="Arial" w:eastAsiaTheme="minorEastAsia" w:hAnsi="Arial" w:cs="Arial"/>
          <w:sz w:val="24"/>
          <w:szCs w:val="24"/>
        </w:rPr>
        <w:t xml:space="preserve"> care</w:t>
      </w:r>
      <w:r w:rsidR="00826A2F">
        <w:rPr>
          <w:rFonts w:ascii="Arial" w:eastAsiaTheme="minorEastAsia" w:hAnsi="Arial" w:cs="Arial"/>
          <w:sz w:val="24"/>
          <w:szCs w:val="24"/>
        </w:rPr>
        <w:t>,</w:t>
      </w:r>
      <w:r w:rsidRPr="007849E9">
        <w:rPr>
          <w:rFonts w:ascii="Arial" w:eastAsiaTheme="minorEastAsia" w:hAnsi="Arial" w:cs="Arial"/>
          <w:sz w:val="24"/>
          <w:szCs w:val="24"/>
        </w:rPr>
        <w:t xml:space="preserve"> </w:t>
      </w:r>
      <w:r w:rsidR="00826A2F">
        <w:rPr>
          <w:rFonts w:ascii="Arial" w:eastAsiaTheme="minorEastAsia" w:hAnsi="Arial" w:cs="Arial"/>
          <w:sz w:val="24"/>
          <w:szCs w:val="24"/>
        </w:rPr>
        <w:t xml:space="preserve">I </w:t>
      </w:r>
      <w:r w:rsidRPr="007849E9">
        <w:rPr>
          <w:rFonts w:ascii="Arial" w:eastAsiaTheme="minorEastAsia" w:hAnsi="Arial" w:cs="Arial"/>
          <w:sz w:val="24"/>
          <w:szCs w:val="24"/>
        </w:rPr>
        <w:t xml:space="preserve">will always write to you (copied to the patient and your Practice Nurse) suggesting an ideal injection-interval, based on available blood test results, and specifying when the next set of blood tests should be performed.  </w:t>
      </w:r>
    </w:p>
    <w:p w14:paraId="10297F46" w14:textId="77777777" w:rsidR="007849E9" w:rsidRPr="007849E9" w:rsidRDefault="00E75445" w:rsidP="00826A2F">
      <w:pPr>
        <w:spacing w:before="120" w:after="0" w:line="288" w:lineRule="auto"/>
        <w:jc w:val="both"/>
        <w:rPr>
          <w:rFonts w:ascii="Arial" w:eastAsiaTheme="minorEastAsia" w:hAnsi="Arial" w:cs="Arial"/>
          <w:sz w:val="24"/>
          <w:szCs w:val="24"/>
        </w:rPr>
      </w:pPr>
      <w:r>
        <w:rPr>
          <w:rFonts w:ascii="Arial" w:eastAsiaTheme="minorEastAsia" w:hAnsi="Arial" w:cs="Arial"/>
          <w:sz w:val="24"/>
          <w:szCs w:val="24"/>
        </w:rPr>
        <w:t xml:space="preserve">When </w:t>
      </w:r>
      <w:r w:rsidR="00C968DE">
        <w:rPr>
          <w:rFonts w:ascii="Arial" w:eastAsiaTheme="minorEastAsia" w:hAnsi="Arial" w:cs="Arial"/>
          <w:sz w:val="24"/>
          <w:szCs w:val="24"/>
        </w:rPr>
        <w:t xml:space="preserve">the </w:t>
      </w:r>
      <w:r>
        <w:rPr>
          <w:rFonts w:ascii="Arial" w:eastAsiaTheme="minorEastAsia" w:hAnsi="Arial" w:cs="Arial"/>
          <w:sz w:val="24"/>
          <w:szCs w:val="24"/>
        </w:rPr>
        <w:t xml:space="preserve">monitoring bloods have been done, please email </w:t>
      </w:r>
      <w:r w:rsidR="00826A2F">
        <w:rPr>
          <w:rFonts w:ascii="Arial" w:eastAsiaTheme="minorEastAsia" w:hAnsi="Arial" w:cs="Arial"/>
          <w:sz w:val="24"/>
          <w:szCs w:val="24"/>
        </w:rPr>
        <w:t>the results to my secretary,</w:t>
      </w:r>
      <w:r w:rsidR="007849E9" w:rsidRPr="007849E9">
        <w:rPr>
          <w:rFonts w:ascii="Arial" w:eastAsiaTheme="minorEastAsia" w:hAnsi="Arial" w:cs="Arial"/>
          <w:sz w:val="24"/>
          <w:szCs w:val="24"/>
        </w:rPr>
        <w:t xml:space="preserve"> and </w:t>
      </w:r>
      <w:r w:rsidR="00826A2F">
        <w:rPr>
          <w:rFonts w:ascii="Arial" w:eastAsiaTheme="minorEastAsia" w:hAnsi="Arial" w:cs="Arial"/>
          <w:sz w:val="24"/>
          <w:szCs w:val="24"/>
        </w:rPr>
        <w:t xml:space="preserve">I will </w:t>
      </w:r>
      <w:r w:rsidR="007849E9" w:rsidRPr="007849E9">
        <w:rPr>
          <w:rFonts w:ascii="Arial" w:eastAsiaTheme="minorEastAsia" w:hAnsi="Arial" w:cs="Arial"/>
          <w:sz w:val="24"/>
          <w:szCs w:val="24"/>
        </w:rPr>
        <w:t>get back to you</w:t>
      </w:r>
      <w:r w:rsidR="007D3E94" w:rsidRPr="007D3E94">
        <w:rPr>
          <w:rFonts w:ascii="Arial" w:eastAsiaTheme="minorEastAsia" w:hAnsi="Arial" w:cs="Arial"/>
          <w:sz w:val="24"/>
          <w:szCs w:val="24"/>
        </w:rPr>
        <w:t xml:space="preserve"> </w:t>
      </w:r>
      <w:r w:rsidR="007D3E94">
        <w:rPr>
          <w:rFonts w:ascii="Arial" w:eastAsiaTheme="minorEastAsia" w:hAnsi="Arial" w:cs="Arial"/>
          <w:sz w:val="24"/>
          <w:szCs w:val="24"/>
        </w:rPr>
        <w:t xml:space="preserve">with </w:t>
      </w:r>
      <w:r w:rsidR="00826A2F">
        <w:rPr>
          <w:rFonts w:ascii="Arial" w:eastAsiaTheme="minorEastAsia" w:hAnsi="Arial" w:cs="Arial"/>
          <w:sz w:val="24"/>
          <w:szCs w:val="24"/>
        </w:rPr>
        <w:t>my</w:t>
      </w:r>
      <w:r w:rsidR="007D3E94">
        <w:rPr>
          <w:rFonts w:ascii="Arial" w:eastAsiaTheme="minorEastAsia" w:hAnsi="Arial" w:cs="Arial"/>
          <w:sz w:val="24"/>
          <w:szCs w:val="24"/>
        </w:rPr>
        <w:t xml:space="preserve"> advice</w:t>
      </w:r>
      <w:r w:rsidR="007849E9" w:rsidRPr="007849E9">
        <w:rPr>
          <w:rFonts w:ascii="Arial" w:eastAsiaTheme="minorEastAsia" w:hAnsi="Arial" w:cs="Arial"/>
          <w:sz w:val="24"/>
          <w:szCs w:val="24"/>
        </w:rPr>
        <w:t>.</w:t>
      </w:r>
    </w:p>
    <w:p w14:paraId="23044E5D" w14:textId="77777777" w:rsidR="007849E9" w:rsidRPr="007849E9" w:rsidRDefault="007849E9" w:rsidP="00826A2F">
      <w:pPr>
        <w:numPr>
          <w:ilvl w:val="0"/>
          <w:numId w:val="1"/>
        </w:numPr>
        <w:spacing w:before="360" w:after="0" w:line="288" w:lineRule="auto"/>
        <w:ind w:left="357" w:hanging="357"/>
        <w:jc w:val="both"/>
        <w:rPr>
          <w:rFonts w:ascii="Arial" w:eastAsia="Calibri" w:hAnsi="Arial" w:cs="Arial"/>
          <w:b/>
          <w:sz w:val="24"/>
          <w:szCs w:val="24"/>
        </w:rPr>
      </w:pPr>
      <w:r w:rsidRPr="007849E9">
        <w:rPr>
          <w:rFonts w:ascii="Arial" w:eastAsia="Calibri" w:hAnsi="Arial" w:cs="Arial"/>
          <w:b/>
          <w:sz w:val="24"/>
          <w:szCs w:val="24"/>
        </w:rPr>
        <w:t>Shared responsibilities between patients and GP Surgeries</w:t>
      </w:r>
    </w:p>
    <w:p w14:paraId="773F0685"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Prolonged breaks in treatment are associated with adverse psychosocial outcomes and increased risk of osteoporosis and fracture.  Conversely, unmonitored testosterone therapy can be associated with increased rate of erythrocytosis/polycythaemia, potentially leading to venous thromboembolism </w:t>
      </w:r>
    </w:p>
    <w:p w14:paraId="47EA1A1F" w14:textId="77777777" w:rsidR="007849E9" w:rsidRPr="007849E9"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Patients with chronic diseases should take </w:t>
      </w:r>
      <w:r w:rsidR="00936B4A">
        <w:rPr>
          <w:rFonts w:ascii="Arial" w:eastAsiaTheme="minorEastAsia" w:hAnsi="Arial" w:cs="Arial"/>
          <w:sz w:val="24"/>
          <w:szCs w:val="24"/>
        </w:rPr>
        <w:t xml:space="preserve">some </w:t>
      </w:r>
      <w:r w:rsidRPr="007849E9">
        <w:rPr>
          <w:rFonts w:ascii="Arial" w:eastAsiaTheme="minorEastAsia" w:hAnsi="Arial" w:cs="Arial"/>
          <w:sz w:val="24"/>
          <w:szCs w:val="24"/>
        </w:rPr>
        <w:t xml:space="preserve">responsibility for their disease management, </w:t>
      </w:r>
      <w:r w:rsidRPr="007849E9">
        <w:rPr>
          <w:rFonts w:ascii="Arial" w:eastAsiaTheme="minorEastAsia" w:hAnsi="Arial" w:cs="Arial"/>
          <w:i/>
          <w:sz w:val="24"/>
          <w:szCs w:val="24"/>
        </w:rPr>
        <w:t>e</w:t>
      </w:r>
      <w:r w:rsidR="00936B4A">
        <w:rPr>
          <w:rFonts w:ascii="Arial" w:eastAsiaTheme="minorEastAsia" w:hAnsi="Arial" w:cs="Arial"/>
          <w:i/>
          <w:sz w:val="24"/>
          <w:szCs w:val="24"/>
        </w:rPr>
        <w:t>.</w:t>
      </w:r>
      <w:r w:rsidRPr="007849E9">
        <w:rPr>
          <w:rFonts w:ascii="Arial" w:eastAsiaTheme="minorEastAsia" w:hAnsi="Arial" w:cs="Arial"/>
          <w:i/>
          <w:sz w:val="24"/>
          <w:szCs w:val="24"/>
        </w:rPr>
        <w:t>g.</w:t>
      </w:r>
      <w:r w:rsidR="00936B4A">
        <w:rPr>
          <w:rFonts w:ascii="Arial" w:eastAsiaTheme="minorEastAsia" w:hAnsi="Arial" w:cs="Arial"/>
          <w:sz w:val="24"/>
          <w:szCs w:val="24"/>
        </w:rPr>
        <w:t xml:space="preserve"> </w:t>
      </w:r>
      <w:r w:rsidRPr="007849E9">
        <w:rPr>
          <w:rFonts w:ascii="Arial" w:eastAsiaTheme="minorEastAsia" w:hAnsi="Arial" w:cs="Arial"/>
          <w:sz w:val="24"/>
          <w:szCs w:val="24"/>
        </w:rPr>
        <w:t xml:space="preserve">making timely arrangements with their GP surgery for </w:t>
      </w:r>
      <w:proofErr w:type="spellStart"/>
      <w:r w:rsidRPr="007849E9">
        <w:rPr>
          <w:rFonts w:ascii="Arial" w:eastAsiaTheme="minorEastAsia" w:hAnsi="Arial" w:cs="Arial"/>
          <w:sz w:val="24"/>
          <w:szCs w:val="24"/>
        </w:rPr>
        <w:t>Nebido</w:t>
      </w:r>
      <w:proofErr w:type="spellEnd"/>
      <w:r w:rsidRPr="007849E9">
        <w:rPr>
          <w:rFonts w:ascii="Arial" w:eastAsiaTheme="minorEastAsia" w:hAnsi="Arial" w:cs="Arial"/>
          <w:sz w:val="24"/>
          <w:szCs w:val="24"/>
        </w:rPr>
        <w:t xml:space="preserve"> scripts, injections</w:t>
      </w:r>
      <w:r w:rsidR="00936B4A">
        <w:rPr>
          <w:rFonts w:ascii="Arial" w:eastAsiaTheme="minorEastAsia" w:hAnsi="Arial" w:cs="Arial"/>
          <w:sz w:val="24"/>
          <w:szCs w:val="24"/>
        </w:rPr>
        <w:t xml:space="preserve"> and blood tests;</w:t>
      </w:r>
      <w:r w:rsidRPr="007849E9">
        <w:rPr>
          <w:rFonts w:ascii="Arial" w:eastAsiaTheme="minorEastAsia" w:hAnsi="Arial" w:cs="Arial"/>
          <w:sz w:val="24"/>
          <w:szCs w:val="24"/>
        </w:rPr>
        <w:t xml:space="preserve"> on the other hand there are vulnerable individuals among </w:t>
      </w:r>
      <w:r w:rsidR="00936B4A">
        <w:rPr>
          <w:rFonts w:ascii="Arial" w:eastAsiaTheme="minorEastAsia" w:hAnsi="Arial" w:cs="Arial"/>
          <w:sz w:val="24"/>
          <w:szCs w:val="24"/>
        </w:rPr>
        <w:t xml:space="preserve">them, for </w:t>
      </w:r>
      <w:r w:rsidRPr="007849E9">
        <w:rPr>
          <w:rFonts w:ascii="Arial" w:eastAsiaTheme="minorEastAsia" w:hAnsi="Arial" w:cs="Arial"/>
          <w:sz w:val="24"/>
          <w:szCs w:val="24"/>
        </w:rPr>
        <w:t>who</w:t>
      </w:r>
      <w:r w:rsidR="00936B4A">
        <w:rPr>
          <w:rFonts w:ascii="Arial" w:eastAsiaTheme="minorEastAsia" w:hAnsi="Arial" w:cs="Arial"/>
          <w:sz w:val="24"/>
          <w:szCs w:val="24"/>
        </w:rPr>
        <w:t xml:space="preserve">m reasonable adjustments should be made, such as </w:t>
      </w:r>
      <w:r w:rsidRPr="007849E9">
        <w:rPr>
          <w:rFonts w:ascii="Arial" w:eastAsiaTheme="minorEastAsia" w:hAnsi="Arial" w:cs="Arial"/>
          <w:sz w:val="24"/>
          <w:szCs w:val="24"/>
        </w:rPr>
        <w:t xml:space="preserve"> extra support and reminders, </w:t>
      </w:r>
    </w:p>
    <w:p w14:paraId="7AF8F033" w14:textId="77777777" w:rsidR="00BA18CF" w:rsidRPr="00883B95" w:rsidRDefault="007849E9" w:rsidP="00826A2F">
      <w:pPr>
        <w:spacing w:before="120" w:after="0" w:line="288" w:lineRule="auto"/>
        <w:jc w:val="both"/>
        <w:rPr>
          <w:rFonts w:ascii="Arial" w:eastAsiaTheme="minorEastAsia" w:hAnsi="Arial" w:cs="Arial"/>
          <w:sz w:val="24"/>
          <w:szCs w:val="24"/>
        </w:rPr>
      </w:pPr>
      <w:r w:rsidRPr="007849E9">
        <w:rPr>
          <w:rFonts w:ascii="Arial" w:eastAsiaTheme="minorEastAsia" w:hAnsi="Arial" w:cs="Arial"/>
          <w:sz w:val="24"/>
          <w:szCs w:val="24"/>
        </w:rPr>
        <w:t xml:space="preserve">Patients find it frustrating that, when attending the surgery for a </w:t>
      </w:r>
      <w:proofErr w:type="spellStart"/>
      <w:r w:rsidRPr="007849E9">
        <w:rPr>
          <w:rFonts w:ascii="Arial" w:eastAsiaTheme="minorEastAsia" w:hAnsi="Arial" w:cs="Arial"/>
          <w:sz w:val="24"/>
          <w:szCs w:val="24"/>
        </w:rPr>
        <w:t>Nebido</w:t>
      </w:r>
      <w:proofErr w:type="spellEnd"/>
      <w:r w:rsidRPr="007849E9">
        <w:rPr>
          <w:rFonts w:ascii="Arial" w:eastAsiaTheme="minorEastAsia" w:hAnsi="Arial" w:cs="Arial"/>
          <w:sz w:val="24"/>
          <w:szCs w:val="24"/>
        </w:rPr>
        <w:t xml:space="preserve"> injection (and knowing when their next one is due), they </w:t>
      </w:r>
      <w:r w:rsidR="009B416F">
        <w:rPr>
          <w:rFonts w:ascii="Arial" w:eastAsiaTheme="minorEastAsia" w:hAnsi="Arial" w:cs="Arial"/>
          <w:sz w:val="24"/>
          <w:szCs w:val="24"/>
        </w:rPr>
        <w:t xml:space="preserve">are </w:t>
      </w:r>
      <w:r w:rsidRPr="007849E9">
        <w:rPr>
          <w:rFonts w:ascii="Arial" w:eastAsiaTheme="minorEastAsia" w:hAnsi="Arial" w:cs="Arial"/>
          <w:sz w:val="24"/>
          <w:szCs w:val="24"/>
        </w:rPr>
        <w:t>not</w:t>
      </w:r>
      <w:r w:rsidR="009B416F">
        <w:rPr>
          <w:rFonts w:ascii="Arial" w:eastAsiaTheme="minorEastAsia" w:hAnsi="Arial" w:cs="Arial"/>
          <w:sz w:val="24"/>
          <w:szCs w:val="24"/>
        </w:rPr>
        <w:t xml:space="preserve"> </w:t>
      </w:r>
      <w:r w:rsidRPr="007849E9">
        <w:rPr>
          <w:rFonts w:ascii="Arial" w:eastAsiaTheme="minorEastAsia" w:hAnsi="Arial" w:cs="Arial"/>
          <w:sz w:val="24"/>
          <w:szCs w:val="24"/>
        </w:rPr>
        <w:t xml:space="preserve">allowed to book an appointment </w:t>
      </w:r>
      <w:r w:rsidR="009B416F">
        <w:rPr>
          <w:rFonts w:ascii="Arial" w:eastAsiaTheme="minorEastAsia" w:hAnsi="Arial" w:cs="Arial"/>
          <w:sz w:val="24"/>
          <w:szCs w:val="24"/>
        </w:rPr>
        <w:t xml:space="preserve">in advance </w:t>
      </w:r>
      <w:r w:rsidRPr="007849E9">
        <w:rPr>
          <w:rFonts w:ascii="Arial" w:eastAsiaTheme="minorEastAsia" w:hAnsi="Arial" w:cs="Arial"/>
          <w:sz w:val="24"/>
          <w:szCs w:val="24"/>
        </w:rPr>
        <w:t xml:space="preserve">for their next injection.  It would be </w:t>
      </w:r>
      <w:r w:rsidR="009B416F">
        <w:rPr>
          <w:rFonts w:ascii="Arial" w:eastAsiaTheme="minorEastAsia" w:hAnsi="Arial" w:cs="Arial"/>
          <w:sz w:val="24"/>
          <w:szCs w:val="24"/>
        </w:rPr>
        <w:t>helpful</w:t>
      </w:r>
      <w:r w:rsidRPr="007849E9">
        <w:rPr>
          <w:rFonts w:ascii="Arial" w:eastAsiaTheme="minorEastAsia" w:hAnsi="Arial" w:cs="Arial"/>
          <w:sz w:val="24"/>
          <w:szCs w:val="24"/>
        </w:rPr>
        <w:t xml:space="preserve"> and probably, a lot more efficient</w:t>
      </w:r>
      <w:r w:rsidR="009B416F">
        <w:rPr>
          <w:rFonts w:ascii="Arial" w:eastAsiaTheme="minorEastAsia" w:hAnsi="Arial" w:cs="Arial"/>
          <w:sz w:val="24"/>
          <w:szCs w:val="24"/>
        </w:rPr>
        <w:t xml:space="preserve"> for both patient and surgery staff</w:t>
      </w:r>
      <w:r w:rsidRPr="007849E9">
        <w:rPr>
          <w:rFonts w:ascii="Arial" w:eastAsiaTheme="minorEastAsia" w:hAnsi="Arial" w:cs="Arial"/>
          <w:sz w:val="24"/>
          <w:szCs w:val="24"/>
        </w:rPr>
        <w:t xml:space="preserve">, if there were a facility for them to do this. </w:t>
      </w:r>
    </w:p>
    <w:sectPr w:rsidR="00BA18CF" w:rsidRPr="00883B9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749D9" w14:textId="77777777" w:rsidR="005D07D8" w:rsidRDefault="005D07D8" w:rsidP="002B14F8">
      <w:pPr>
        <w:spacing w:after="0" w:line="240" w:lineRule="auto"/>
      </w:pPr>
      <w:r>
        <w:separator/>
      </w:r>
    </w:p>
  </w:endnote>
  <w:endnote w:type="continuationSeparator" w:id="0">
    <w:p w14:paraId="10225329" w14:textId="77777777" w:rsidR="005D07D8" w:rsidRDefault="005D07D8" w:rsidP="002B1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848330"/>
      <w:docPartObj>
        <w:docPartGallery w:val="Page Numbers (Bottom of Page)"/>
        <w:docPartUnique/>
      </w:docPartObj>
    </w:sdtPr>
    <w:sdtContent>
      <w:sdt>
        <w:sdtPr>
          <w:id w:val="-1669238322"/>
          <w:docPartObj>
            <w:docPartGallery w:val="Page Numbers (Top of Page)"/>
            <w:docPartUnique/>
          </w:docPartObj>
        </w:sdtPr>
        <w:sdtContent>
          <w:p w14:paraId="243DC24E" w14:textId="77777777" w:rsidR="002B14F8" w:rsidRDefault="002B14F8">
            <w:pPr>
              <w:pStyle w:val="Footer"/>
              <w:jc w:val="center"/>
            </w:pPr>
            <w:r w:rsidRPr="002B14F8">
              <w:rPr>
                <w:sz w:val="20"/>
                <w:szCs w:val="20"/>
              </w:rPr>
              <w:t xml:space="preserve">Page </w:t>
            </w:r>
            <w:r w:rsidRPr="002B14F8">
              <w:rPr>
                <w:b/>
                <w:bCs/>
                <w:sz w:val="20"/>
                <w:szCs w:val="20"/>
              </w:rPr>
              <w:fldChar w:fldCharType="begin"/>
            </w:r>
            <w:r w:rsidRPr="002B14F8">
              <w:rPr>
                <w:b/>
                <w:bCs/>
                <w:sz w:val="20"/>
                <w:szCs w:val="20"/>
              </w:rPr>
              <w:instrText xml:space="preserve"> PAGE </w:instrText>
            </w:r>
            <w:r w:rsidRPr="002B14F8">
              <w:rPr>
                <w:b/>
                <w:bCs/>
                <w:sz w:val="20"/>
                <w:szCs w:val="20"/>
              </w:rPr>
              <w:fldChar w:fldCharType="separate"/>
            </w:r>
            <w:r w:rsidR="0050265C">
              <w:rPr>
                <w:b/>
                <w:bCs/>
                <w:noProof/>
                <w:sz w:val="20"/>
                <w:szCs w:val="20"/>
              </w:rPr>
              <w:t>2</w:t>
            </w:r>
            <w:r w:rsidRPr="002B14F8">
              <w:rPr>
                <w:b/>
                <w:bCs/>
                <w:sz w:val="20"/>
                <w:szCs w:val="20"/>
              </w:rPr>
              <w:fldChar w:fldCharType="end"/>
            </w:r>
            <w:r w:rsidRPr="002B14F8">
              <w:rPr>
                <w:sz w:val="20"/>
                <w:szCs w:val="20"/>
              </w:rPr>
              <w:t xml:space="preserve"> of </w:t>
            </w:r>
            <w:r w:rsidRPr="002B14F8">
              <w:rPr>
                <w:b/>
                <w:bCs/>
                <w:sz w:val="20"/>
                <w:szCs w:val="20"/>
              </w:rPr>
              <w:fldChar w:fldCharType="begin"/>
            </w:r>
            <w:r w:rsidRPr="002B14F8">
              <w:rPr>
                <w:b/>
                <w:bCs/>
                <w:sz w:val="20"/>
                <w:szCs w:val="20"/>
              </w:rPr>
              <w:instrText xml:space="preserve"> NUMPAGES  </w:instrText>
            </w:r>
            <w:r w:rsidRPr="002B14F8">
              <w:rPr>
                <w:b/>
                <w:bCs/>
                <w:sz w:val="20"/>
                <w:szCs w:val="20"/>
              </w:rPr>
              <w:fldChar w:fldCharType="separate"/>
            </w:r>
            <w:r w:rsidR="0050265C">
              <w:rPr>
                <w:b/>
                <w:bCs/>
                <w:noProof/>
                <w:sz w:val="20"/>
                <w:szCs w:val="20"/>
              </w:rPr>
              <w:t>3</w:t>
            </w:r>
            <w:r w:rsidRPr="002B14F8">
              <w:rPr>
                <w:b/>
                <w:bCs/>
                <w:sz w:val="20"/>
                <w:szCs w:val="20"/>
              </w:rPr>
              <w:fldChar w:fldCharType="end"/>
            </w:r>
          </w:p>
        </w:sdtContent>
      </w:sdt>
    </w:sdtContent>
  </w:sdt>
  <w:p w14:paraId="7053FF87" w14:textId="77777777" w:rsidR="002B14F8" w:rsidRDefault="002B14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488C5" w14:textId="77777777" w:rsidR="005D07D8" w:rsidRDefault="005D07D8" w:rsidP="002B14F8">
      <w:pPr>
        <w:spacing w:after="0" w:line="240" w:lineRule="auto"/>
      </w:pPr>
      <w:r>
        <w:separator/>
      </w:r>
    </w:p>
  </w:footnote>
  <w:footnote w:type="continuationSeparator" w:id="0">
    <w:p w14:paraId="032369CF" w14:textId="77777777" w:rsidR="005D07D8" w:rsidRDefault="005D07D8" w:rsidP="002B1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F4FBA"/>
    <w:multiLevelType w:val="hybridMultilevel"/>
    <w:tmpl w:val="BF9E963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AF81AD4"/>
    <w:multiLevelType w:val="hybridMultilevel"/>
    <w:tmpl w:val="711E11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D333C8D"/>
    <w:multiLevelType w:val="hybridMultilevel"/>
    <w:tmpl w:val="E74266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00596224">
    <w:abstractNumId w:val="1"/>
  </w:num>
  <w:num w:numId="2" w16cid:durableId="2053844551">
    <w:abstractNumId w:val="2"/>
  </w:num>
  <w:num w:numId="3" w16cid:durableId="769737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9AE"/>
    <w:rsid w:val="00032208"/>
    <w:rsid w:val="000A2222"/>
    <w:rsid w:val="000A62A7"/>
    <w:rsid w:val="000D01DF"/>
    <w:rsid w:val="000D7503"/>
    <w:rsid w:val="00104361"/>
    <w:rsid w:val="00112C1C"/>
    <w:rsid w:val="00211367"/>
    <w:rsid w:val="00251335"/>
    <w:rsid w:val="002571C1"/>
    <w:rsid w:val="00270576"/>
    <w:rsid w:val="00296446"/>
    <w:rsid w:val="002B0F58"/>
    <w:rsid w:val="002B14F8"/>
    <w:rsid w:val="002E422F"/>
    <w:rsid w:val="00397B79"/>
    <w:rsid w:val="003B656C"/>
    <w:rsid w:val="003F5A55"/>
    <w:rsid w:val="004272C4"/>
    <w:rsid w:val="00491D85"/>
    <w:rsid w:val="004A53D9"/>
    <w:rsid w:val="004D5334"/>
    <w:rsid w:val="004F621A"/>
    <w:rsid w:val="0050265C"/>
    <w:rsid w:val="00540360"/>
    <w:rsid w:val="00542034"/>
    <w:rsid w:val="0055039E"/>
    <w:rsid w:val="005C3D5F"/>
    <w:rsid w:val="005D07D8"/>
    <w:rsid w:val="005D4976"/>
    <w:rsid w:val="005D7066"/>
    <w:rsid w:val="005E2E64"/>
    <w:rsid w:val="005E6AAF"/>
    <w:rsid w:val="006029AE"/>
    <w:rsid w:val="00662F2B"/>
    <w:rsid w:val="006F34EC"/>
    <w:rsid w:val="007849E9"/>
    <w:rsid w:val="007D3E94"/>
    <w:rsid w:val="00800A1D"/>
    <w:rsid w:val="00826A2F"/>
    <w:rsid w:val="008425B3"/>
    <w:rsid w:val="00871305"/>
    <w:rsid w:val="00883B95"/>
    <w:rsid w:val="00914340"/>
    <w:rsid w:val="00923120"/>
    <w:rsid w:val="00936B4A"/>
    <w:rsid w:val="00947F1D"/>
    <w:rsid w:val="0098596B"/>
    <w:rsid w:val="009B416F"/>
    <w:rsid w:val="009F359C"/>
    <w:rsid w:val="00AB24E4"/>
    <w:rsid w:val="00AB4315"/>
    <w:rsid w:val="00AE56E0"/>
    <w:rsid w:val="00B12B20"/>
    <w:rsid w:val="00B326A7"/>
    <w:rsid w:val="00B64356"/>
    <w:rsid w:val="00B66034"/>
    <w:rsid w:val="00B94409"/>
    <w:rsid w:val="00B953A8"/>
    <w:rsid w:val="00BA18CF"/>
    <w:rsid w:val="00C54799"/>
    <w:rsid w:val="00C968DE"/>
    <w:rsid w:val="00CD1863"/>
    <w:rsid w:val="00D85CA1"/>
    <w:rsid w:val="00E059A4"/>
    <w:rsid w:val="00E25AF2"/>
    <w:rsid w:val="00E3206F"/>
    <w:rsid w:val="00E56B0C"/>
    <w:rsid w:val="00E75445"/>
    <w:rsid w:val="00ED475D"/>
    <w:rsid w:val="00F40EF5"/>
    <w:rsid w:val="00F50CC7"/>
    <w:rsid w:val="00F63BF0"/>
    <w:rsid w:val="00F77066"/>
    <w:rsid w:val="00F87E51"/>
    <w:rsid w:val="00F95F37"/>
    <w:rsid w:val="00FA4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A98F"/>
  <w15:docId w15:val="{1B9349C4-9653-4630-A520-09A77539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C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9AE"/>
    <w:pPr>
      <w:ind w:left="720"/>
      <w:contextualSpacing/>
    </w:pPr>
  </w:style>
  <w:style w:type="paragraph" w:styleId="Header">
    <w:name w:val="header"/>
    <w:basedOn w:val="Normal"/>
    <w:link w:val="HeaderChar"/>
    <w:uiPriority w:val="99"/>
    <w:unhideWhenUsed/>
    <w:rsid w:val="002B1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4F8"/>
  </w:style>
  <w:style w:type="paragraph" w:styleId="Footer">
    <w:name w:val="footer"/>
    <w:basedOn w:val="Normal"/>
    <w:link w:val="FooterChar"/>
    <w:uiPriority w:val="99"/>
    <w:unhideWhenUsed/>
    <w:rsid w:val="002B14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4F8"/>
  </w:style>
  <w:style w:type="character" w:styleId="Hyperlink">
    <w:name w:val="Hyperlink"/>
    <w:basedOn w:val="DefaultParagraphFont"/>
    <w:uiPriority w:val="99"/>
    <w:unhideWhenUsed/>
    <w:rsid w:val="00BA18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1117</Words>
  <Characters>5679</Characters>
  <Application>Microsoft Office Word</Application>
  <DocSecurity>0</DocSecurity>
  <Lines>189</Lines>
  <Paragraphs>83</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Collins, Therese</dc:creator>
  <cp:lastModifiedBy>Contact the KSA</cp:lastModifiedBy>
  <cp:revision>2</cp:revision>
  <cp:lastPrinted>2018-01-29T14:12:00Z</cp:lastPrinted>
  <dcterms:created xsi:type="dcterms:W3CDTF">2026-05-28T20:59:00Z</dcterms:created>
  <dcterms:modified xsi:type="dcterms:W3CDTF">2026-05-28T20:59:00Z</dcterms:modified>
</cp:coreProperties>
</file>